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1E52" w14:textId="26E3C573" w:rsidR="006F7FDD" w:rsidRDefault="006F7FDD" w:rsidP="008F034B">
      <w:pPr>
        <w:rPr>
          <w:rFonts w:ascii="Montserrat" w:hAnsi="Montserrat"/>
          <w:bCs/>
          <w:color w:val="000000" w:themeColor="text1"/>
          <w:sz w:val="18"/>
          <w:szCs w:val="18"/>
        </w:rPr>
      </w:pPr>
      <w:bookmarkStart w:id="0" w:name="_GoBack"/>
      <w:bookmarkEnd w:id="0"/>
    </w:p>
    <w:p w14:paraId="39C20B81" w14:textId="77777777" w:rsidR="008F034B" w:rsidRPr="00036F26" w:rsidRDefault="008F034B" w:rsidP="008F034B">
      <w:pPr>
        <w:shd w:val="clear" w:color="auto" w:fill="FFFFFF"/>
        <w:spacing w:line="276" w:lineRule="auto"/>
        <w:jc w:val="center"/>
        <w:rPr>
          <w:rFonts w:asciiTheme="minorHAnsi" w:eastAsia="Noto Sans" w:hAnsiTheme="minorHAnsi" w:cstheme="minorHAnsi"/>
          <w:b/>
          <w:sz w:val="20"/>
        </w:rPr>
      </w:pPr>
      <w:r w:rsidRPr="00036F26">
        <w:rPr>
          <w:rFonts w:asciiTheme="minorHAnsi" w:eastAsia="Noto Sans" w:hAnsiTheme="minorHAnsi" w:cstheme="minorHAnsi"/>
          <w:b/>
          <w:sz w:val="20"/>
        </w:rPr>
        <w:t xml:space="preserve">Comentarios para </w:t>
      </w:r>
      <w:r>
        <w:rPr>
          <w:rFonts w:asciiTheme="minorHAnsi" w:eastAsia="Noto Sans" w:hAnsiTheme="minorHAnsi" w:cstheme="minorHAnsi"/>
          <w:b/>
          <w:sz w:val="20"/>
        </w:rPr>
        <w:t xml:space="preserve">la consulta pública del </w:t>
      </w:r>
      <w:r w:rsidRPr="00245571">
        <w:rPr>
          <w:rFonts w:asciiTheme="minorHAnsi" w:eastAsia="Noto Sans" w:hAnsiTheme="minorHAnsi" w:cstheme="minorHAnsi"/>
          <w:b/>
          <w:sz w:val="20"/>
        </w:rPr>
        <w:t>Proyecto de Modificación al numeral 4.5.3 de la NOM-051-SCFI/SSA1-2010</w:t>
      </w:r>
    </w:p>
    <w:p w14:paraId="644013ED" w14:textId="77777777" w:rsidR="008F034B" w:rsidRPr="00036F26" w:rsidRDefault="008F034B" w:rsidP="008F034B">
      <w:pPr>
        <w:pStyle w:val="Sinespaciado"/>
        <w:jc w:val="both"/>
        <w:rPr>
          <w:rFonts w:asciiTheme="minorHAnsi" w:hAnsiTheme="minorHAnsi" w:cstheme="minorHAnsi"/>
          <w:sz w:val="20"/>
          <w:szCs w:val="20"/>
        </w:rPr>
      </w:pPr>
    </w:p>
    <w:p w14:paraId="0949508E" w14:textId="77777777" w:rsidR="008F034B" w:rsidRDefault="008F034B" w:rsidP="008F034B">
      <w:pPr>
        <w:pStyle w:val="Sinespaciado"/>
        <w:jc w:val="both"/>
        <w:rPr>
          <w:rFonts w:asciiTheme="minorHAnsi" w:hAnsiTheme="minorHAnsi" w:cstheme="minorHAnsi"/>
          <w:sz w:val="20"/>
          <w:szCs w:val="20"/>
        </w:rPr>
      </w:pPr>
    </w:p>
    <w:p w14:paraId="5CA408D0" w14:textId="77777777" w:rsidR="008F034B" w:rsidRPr="00036F26" w:rsidRDefault="008F034B" w:rsidP="008F034B">
      <w:pPr>
        <w:pStyle w:val="Sinespaciado"/>
        <w:jc w:val="both"/>
        <w:rPr>
          <w:rFonts w:asciiTheme="minorHAnsi" w:hAnsiTheme="minorHAnsi" w:cstheme="minorHAnsi"/>
          <w:sz w:val="20"/>
          <w:szCs w:val="20"/>
        </w:rPr>
      </w:pPr>
      <w:r w:rsidRPr="00036F26">
        <w:rPr>
          <w:rFonts w:asciiTheme="minorHAnsi" w:hAnsiTheme="minorHAnsi" w:cstheme="minorHAnsi"/>
          <w:sz w:val="20"/>
          <w:szCs w:val="20"/>
        </w:rPr>
        <w:t>Dirección General de Normas de la Secretaría de Economía,</w:t>
      </w:r>
    </w:p>
    <w:p w14:paraId="1BF2FA5E" w14:textId="77777777" w:rsidR="008F034B" w:rsidRPr="00036F26" w:rsidRDefault="008F034B" w:rsidP="008F034B">
      <w:pPr>
        <w:pStyle w:val="Sinespaciado"/>
        <w:jc w:val="both"/>
        <w:rPr>
          <w:rFonts w:asciiTheme="minorHAnsi" w:hAnsiTheme="minorHAnsi" w:cstheme="minorHAnsi"/>
          <w:sz w:val="20"/>
          <w:szCs w:val="20"/>
        </w:rPr>
      </w:pPr>
      <w:r w:rsidRPr="00036F26">
        <w:rPr>
          <w:rFonts w:asciiTheme="minorHAnsi" w:hAnsiTheme="minorHAnsi" w:cstheme="minorHAnsi"/>
          <w:sz w:val="20"/>
          <w:szCs w:val="20"/>
        </w:rPr>
        <w:t>Comisión Federal para la protección contra riesgos sanitarios (COFEPRIS),</w:t>
      </w:r>
    </w:p>
    <w:p w14:paraId="537BA3B7" w14:textId="77777777" w:rsidR="008F034B" w:rsidRPr="00BD7B24" w:rsidRDefault="008F034B" w:rsidP="008F034B">
      <w:pPr>
        <w:pStyle w:val="NormalWeb"/>
        <w:jc w:val="both"/>
        <w:rPr>
          <w:rFonts w:asciiTheme="minorHAnsi" w:hAnsiTheme="minorHAnsi" w:cstheme="minorHAnsi"/>
          <w:sz w:val="20"/>
          <w:szCs w:val="20"/>
        </w:rPr>
      </w:pPr>
      <w:r w:rsidRPr="00BD7B24">
        <w:rPr>
          <w:rFonts w:asciiTheme="minorHAnsi" w:hAnsiTheme="minorHAnsi" w:cstheme="minorHAnsi"/>
          <w:sz w:val="20"/>
          <w:szCs w:val="20"/>
        </w:rPr>
        <w:t>Como persona interesada en la presente norma, en ejercicio del derecho de participación ciudadana previsto, de acuerdo con el principio de transparencia del artículo 5 de la Ley de Infraestructura de la Calidad (LIC) y el artículo 35, fracción VI sobre el procedimiento de consulta pública, someto respetuosamente a su consideración los siguientes comentarios relativos al proyecto de modificación de la Norma Oficial Mexicana NOM-051-SCFI/SSA1-2010, “</w:t>
      </w:r>
      <w:r w:rsidRPr="00BD7B24">
        <w:rPr>
          <w:rStyle w:val="nfasis"/>
          <w:rFonts w:asciiTheme="minorHAnsi" w:hAnsiTheme="minorHAnsi" w:cstheme="minorHAnsi"/>
          <w:sz w:val="20"/>
          <w:szCs w:val="20"/>
        </w:rPr>
        <w:t>Especificaciones generales de etiquetado para alimentos y bebidas no alcohólicas preenvasados – Información comercial y sanitaria”</w:t>
      </w:r>
      <w:r w:rsidRPr="00BD7B24">
        <w:rPr>
          <w:rFonts w:asciiTheme="minorHAnsi" w:hAnsiTheme="minorHAnsi" w:cstheme="minorHAnsi"/>
          <w:sz w:val="20"/>
          <w:szCs w:val="20"/>
        </w:rPr>
        <w:t xml:space="preserve">. </w:t>
      </w:r>
    </w:p>
    <w:p w14:paraId="49448CD4" w14:textId="77777777" w:rsidR="008F034B" w:rsidRDefault="008F034B" w:rsidP="008F034B">
      <w:pPr>
        <w:pStyle w:val="NormalWeb"/>
        <w:jc w:val="both"/>
        <w:rPr>
          <w:rFonts w:asciiTheme="minorHAnsi" w:hAnsiTheme="minorHAnsi" w:cstheme="minorHAnsi"/>
          <w:color w:val="000000"/>
          <w:sz w:val="20"/>
          <w:szCs w:val="20"/>
          <w:shd w:val="clear" w:color="auto" w:fill="FFFFFF"/>
        </w:rPr>
      </w:pPr>
      <w:r w:rsidRPr="00BD7B24">
        <w:rPr>
          <w:rFonts w:asciiTheme="minorHAnsi" w:hAnsiTheme="minorHAnsi" w:cstheme="minorHAnsi"/>
          <w:sz w:val="20"/>
          <w:szCs w:val="20"/>
        </w:rPr>
        <w:t xml:space="preserve">Dicha participación obedece al interés público que reviste esta regulación, así como a la relevancia que tiene para la protección del derecho a la información de las personas consumidoras y la promoción de la salud pública. Los siguientes comentarios buscan el fortalecimiento de la regulación y la correcta aplicación de la norma para cumplir con el objetivo legítimo de </w:t>
      </w:r>
      <w:r w:rsidRPr="00BD7B24">
        <w:rPr>
          <w:rFonts w:asciiTheme="minorHAnsi" w:hAnsiTheme="minorHAnsi" w:cstheme="minorHAnsi"/>
          <w:i/>
          <w:color w:val="000000"/>
          <w:sz w:val="20"/>
          <w:szCs w:val="20"/>
          <w:shd w:val="clear" w:color="auto" w:fill="FFFFFF"/>
        </w:rPr>
        <w:t xml:space="preserve">establecer un sistema de etiquetado frontal, el cual debe advertir de forma </w:t>
      </w:r>
      <w:r w:rsidRPr="00BD7B24">
        <w:rPr>
          <w:rFonts w:asciiTheme="minorHAnsi" w:hAnsiTheme="minorHAnsi" w:cstheme="minorHAnsi"/>
          <w:b/>
          <w:i/>
          <w:color w:val="000000"/>
          <w:sz w:val="20"/>
          <w:szCs w:val="20"/>
          <w:shd w:val="clear" w:color="auto" w:fill="FFFFFF"/>
        </w:rPr>
        <w:t>clara y veraz</w:t>
      </w:r>
      <w:r w:rsidRPr="00BD7B24">
        <w:rPr>
          <w:rFonts w:asciiTheme="minorHAnsi" w:hAnsiTheme="minorHAnsi" w:cstheme="minorHAnsi"/>
          <w:i/>
          <w:color w:val="000000"/>
          <w:sz w:val="20"/>
          <w:szCs w:val="20"/>
          <w:shd w:val="clear" w:color="auto" w:fill="FFFFFF"/>
        </w:rPr>
        <w:t xml:space="preserve"> sobre </w:t>
      </w:r>
      <w:r w:rsidRPr="00BD7B24">
        <w:rPr>
          <w:rFonts w:asciiTheme="minorHAnsi" w:hAnsiTheme="minorHAnsi" w:cstheme="minorHAnsi"/>
          <w:b/>
          <w:i/>
          <w:color w:val="000000"/>
          <w:sz w:val="20"/>
          <w:szCs w:val="20"/>
          <w:shd w:val="clear" w:color="auto" w:fill="FFFFFF"/>
        </w:rPr>
        <w:t>el contenido de nutrimentos críticos e ingredientes que representan riesgos para su salud</w:t>
      </w:r>
      <w:r w:rsidRPr="00BD7B24">
        <w:rPr>
          <w:rFonts w:asciiTheme="minorHAnsi" w:hAnsiTheme="minorHAnsi" w:cstheme="minorHAnsi"/>
          <w:i/>
          <w:color w:val="000000"/>
          <w:sz w:val="20"/>
          <w:szCs w:val="20"/>
          <w:shd w:val="clear" w:color="auto" w:fill="FFFFFF"/>
        </w:rPr>
        <w:t xml:space="preserve"> en un consumo excesivo</w:t>
      </w:r>
      <w:r w:rsidRPr="00BD7B24">
        <w:rPr>
          <w:rFonts w:asciiTheme="minorHAnsi" w:hAnsiTheme="minorHAnsi" w:cstheme="minorHAnsi"/>
          <w:color w:val="000000"/>
          <w:sz w:val="20"/>
          <w:szCs w:val="20"/>
          <w:shd w:val="clear" w:color="auto" w:fill="FFFFFF"/>
        </w:rPr>
        <w:t>.</w:t>
      </w:r>
    </w:p>
    <w:p w14:paraId="65DB89B0" w14:textId="77777777" w:rsidR="008F034B" w:rsidRDefault="008F034B" w:rsidP="008F034B">
      <w:pPr>
        <w:pStyle w:val="NormalWeb"/>
        <w:jc w:val="both"/>
        <w:rPr>
          <w:rFonts w:asciiTheme="minorHAnsi" w:hAnsiTheme="minorHAnsi" w:cstheme="minorHAnsi"/>
          <w:b/>
          <w:color w:val="000000"/>
          <w:sz w:val="20"/>
          <w:szCs w:val="20"/>
          <w:shd w:val="clear" w:color="auto" w:fill="FFFFFF"/>
        </w:rPr>
      </w:pPr>
      <w:r w:rsidRPr="00BD7B24">
        <w:rPr>
          <w:rFonts w:asciiTheme="minorHAnsi" w:hAnsiTheme="minorHAnsi" w:cstheme="minorHAnsi"/>
          <w:b/>
          <w:color w:val="000000"/>
          <w:sz w:val="20"/>
          <w:szCs w:val="20"/>
          <w:shd w:val="clear" w:color="auto" w:fill="FFFFFF"/>
        </w:rPr>
        <w:t>Contenido</w:t>
      </w:r>
      <w:r>
        <w:rPr>
          <w:rFonts w:asciiTheme="minorHAnsi" w:hAnsiTheme="minorHAnsi" w:cstheme="minorHAnsi"/>
          <w:b/>
          <w:color w:val="000000"/>
          <w:sz w:val="20"/>
          <w:szCs w:val="20"/>
          <w:shd w:val="clear" w:color="auto" w:fill="FFFFFF"/>
        </w:rPr>
        <w:t xml:space="preserve"> del comentario:</w:t>
      </w:r>
    </w:p>
    <w:p w14:paraId="323E1BA0" w14:textId="77777777" w:rsidR="008F034B" w:rsidRPr="00BD7B24"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sidRPr="00BD7B24">
        <w:rPr>
          <w:rFonts w:asciiTheme="minorHAnsi" w:hAnsiTheme="minorHAnsi" w:cstheme="minorHAnsi"/>
          <w:b/>
          <w:sz w:val="20"/>
          <w:szCs w:val="20"/>
        </w:rPr>
        <w:t>Información nutrimental complementaria</w:t>
      </w:r>
      <w:r>
        <w:rPr>
          <w:rFonts w:asciiTheme="minorHAnsi" w:hAnsiTheme="minorHAnsi" w:cstheme="minorHAnsi"/>
          <w:b/>
          <w:sz w:val="20"/>
          <w:szCs w:val="20"/>
        </w:rPr>
        <w:t xml:space="preserve"> (Numeral 4.5.3)</w:t>
      </w:r>
      <w:r w:rsidRPr="00BD7B24">
        <w:rPr>
          <w:rFonts w:asciiTheme="minorHAnsi" w:hAnsiTheme="minorHAnsi" w:cstheme="minorHAnsi"/>
          <w:b/>
          <w:sz w:val="20"/>
          <w:szCs w:val="20"/>
        </w:rPr>
        <w:t>:</w:t>
      </w:r>
      <w:r>
        <w:rPr>
          <w:rFonts w:asciiTheme="minorHAnsi" w:hAnsiTheme="minorHAnsi" w:cstheme="minorHAnsi"/>
          <w:sz w:val="20"/>
          <w:szCs w:val="20"/>
        </w:rPr>
        <w:t xml:space="preserve"> Propuesta para conservar la Tercera Fase de la NOM-051 </w:t>
      </w:r>
    </w:p>
    <w:p w14:paraId="13B6982D" w14:textId="77777777" w:rsidR="008F034B" w:rsidRPr="00BD7B24"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sidRPr="00BD7B24">
        <w:rPr>
          <w:rFonts w:asciiTheme="minorHAnsi" w:hAnsiTheme="minorHAnsi" w:cstheme="minorHAnsi"/>
          <w:b/>
          <w:sz w:val="20"/>
          <w:szCs w:val="20"/>
        </w:rPr>
        <w:t>Productos destinados a ser reconstituidos</w:t>
      </w:r>
      <w:r>
        <w:rPr>
          <w:rFonts w:asciiTheme="minorHAnsi" w:hAnsiTheme="minorHAnsi" w:cstheme="minorHAnsi"/>
          <w:b/>
          <w:sz w:val="20"/>
          <w:szCs w:val="20"/>
        </w:rPr>
        <w:t xml:space="preserve"> (Numeral 4.5.3.2)</w:t>
      </w:r>
      <w:r w:rsidRPr="00BD7B24">
        <w:rPr>
          <w:rFonts w:asciiTheme="minorHAnsi" w:hAnsiTheme="minorHAnsi" w:cstheme="minorHAnsi"/>
          <w:sz w:val="20"/>
          <w:szCs w:val="20"/>
        </w:rPr>
        <w:t xml:space="preserve">: Propuesta para presentar la información nutrimental del producto sin reconstituir. </w:t>
      </w:r>
    </w:p>
    <w:p w14:paraId="5EF8C206" w14:textId="77777777" w:rsidR="008F034B" w:rsidRPr="00BD7B24" w:rsidRDefault="008F034B" w:rsidP="002D77CD">
      <w:pPr>
        <w:pStyle w:val="NormalWeb"/>
        <w:numPr>
          <w:ilvl w:val="0"/>
          <w:numId w:val="1"/>
        </w:num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 xml:space="preserve">Excepciones en la declaración de información nutrimental complementaria (Numeral 4.5.3.3): </w:t>
      </w:r>
      <w:r w:rsidRPr="00BD7B24">
        <w:rPr>
          <w:rFonts w:asciiTheme="minorHAnsi" w:hAnsiTheme="minorHAnsi" w:cstheme="minorHAnsi"/>
          <w:color w:val="000000"/>
          <w:sz w:val="20"/>
          <w:szCs w:val="20"/>
          <w:shd w:val="clear" w:color="auto" w:fill="FFFFFF"/>
        </w:rPr>
        <w:t>Propuesta para no exceptuar fórmulas para lactantes y niños de corta edad</w:t>
      </w:r>
    </w:p>
    <w:p w14:paraId="08384B8E" w14:textId="77777777" w:rsidR="008F034B" w:rsidRPr="00BD7B24"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Pr>
          <w:rFonts w:asciiTheme="minorHAnsi" w:hAnsiTheme="minorHAnsi" w:cstheme="minorHAnsi"/>
          <w:b/>
          <w:sz w:val="20"/>
          <w:szCs w:val="20"/>
        </w:rPr>
        <w:t xml:space="preserve">Leyendas de advertencia </w:t>
      </w:r>
      <w:r>
        <w:rPr>
          <w:rFonts w:asciiTheme="minorHAnsi" w:hAnsiTheme="minorHAnsi" w:cstheme="minorHAnsi"/>
          <w:b/>
          <w:color w:val="000000"/>
          <w:sz w:val="20"/>
          <w:szCs w:val="20"/>
          <w:shd w:val="clear" w:color="auto" w:fill="FFFFFF"/>
        </w:rPr>
        <w:t xml:space="preserve">(Numerales 4.5.3.4 y 4.5.3.4.7) </w:t>
      </w:r>
      <w:r>
        <w:rPr>
          <w:rFonts w:asciiTheme="minorHAnsi" w:hAnsiTheme="minorHAnsi" w:cstheme="minorHAnsi"/>
          <w:b/>
          <w:sz w:val="20"/>
          <w:szCs w:val="20"/>
        </w:rPr>
        <w:t xml:space="preserve">: </w:t>
      </w:r>
      <w:r w:rsidRPr="00BD7B24">
        <w:rPr>
          <w:rFonts w:asciiTheme="minorHAnsi" w:hAnsiTheme="minorHAnsi" w:cstheme="minorHAnsi"/>
          <w:sz w:val="20"/>
          <w:szCs w:val="20"/>
        </w:rPr>
        <w:t>Propuesta para añadir leyenda de advertencia “CONTIENE COLORANTES ARTIFICIALES - NO RECOMENDABLE EN NIÑOS”</w:t>
      </w:r>
    </w:p>
    <w:p w14:paraId="72B74539" w14:textId="77777777" w:rsidR="008F034B" w:rsidRPr="00352C3D"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sidRPr="00D27FBE">
        <w:rPr>
          <w:rFonts w:asciiTheme="minorHAnsi" w:hAnsiTheme="minorHAnsi" w:cstheme="minorHAnsi"/>
          <w:b/>
          <w:sz w:val="20"/>
          <w:szCs w:val="20"/>
        </w:rPr>
        <w:t>Superficie principal de exhibición</w:t>
      </w:r>
      <w:r>
        <w:rPr>
          <w:rFonts w:asciiTheme="minorHAnsi" w:hAnsiTheme="minorHAnsi" w:cstheme="minorHAnsi"/>
          <w:b/>
          <w:sz w:val="20"/>
          <w:szCs w:val="20"/>
        </w:rPr>
        <w:t xml:space="preserve"> (Numeral 3.38 y </w:t>
      </w:r>
      <w:r w:rsidRPr="00352C3D">
        <w:rPr>
          <w:rStyle w:val="rvts12"/>
          <w:rFonts w:asciiTheme="minorHAnsi" w:hAnsiTheme="minorHAnsi" w:cstheme="minorHAnsi"/>
          <w:b/>
          <w:bCs/>
          <w:color w:val="000000"/>
          <w:sz w:val="20"/>
          <w:szCs w:val="20"/>
          <w:shd w:val="clear" w:color="auto" w:fill="FFFFFF"/>
        </w:rPr>
        <w:t>4.7.1.5</w:t>
      </w:r>
      <w:r w:rsidRPr="00352C3D">
        <w:rPr>
          <w:rStyle w:val="rvts8"/>
          <w:rFonts w:asciiTheme="minorHAnsi" w:hAnsiTheme="minorHAnsi" w:cstheme="minorHAnsi"/>
          <w:b/>
          <w:color w:val="000000"/>
          <w:sz w:val="20"/>
          <w:szCs w:val="20"/>
          <w:shd w:val="clear" w:color="auto" w:fill="FFFFFF"/>
        </w:rPr>
        <w:t>)</w:t>
      </w:r>
      <w:r>
        <w:rPr>
          <w:rFonts w:asciiTheme="minorHAnsi" w:hAnsiTheme="minorHAnsi" w:cstheme="minorHAnsi"/>
          <w:b/>
          <w:sz w:val="20"/>
          <w:szCs w:val="20"/>
        </w:rPr>
        <w:t xml:space="preserve"> </w:t>
      </w:r>
      <w:r>
        <w:rPr>
          <w:rFonts w:asciiTheme="minorHAnsi" w:hAnsiTheme="minorHAnsi" w:cstheme="minorHAnsi"/>
          <w:sz w:val="20"/>
          <w:szCs w:val="20"/>
        </w:rPr>
        <w:t>: Propuesta para calcular la SFE de manera que la información nutrimental complementaria sea siempre visible</w:t>
      </w:r>
    </w:p>
    <w:p w14:paraId="7BE79636" w14:textId="77777777" w:rsidR="008F034B" w:rsidRDefault="008F034B" w:rsidP="008F034B">
      <w:pPr>
        <w:pStyle w:val="NormalWeb"/>
        <w:ind w:left="720"/>
        <w:jc w:val="both"/>
        <w:rPr>
          <w:rFonts w:asciiTheme="minorHAnsi" w:hAnsiTheme="minorHAnsi" w:cstheme="minorHAnsi"/>
          <w:b/>
          <w:color w:val="000000"/>
          <w:sz w:val="20"/>
          <w:szCs w:val="20"/>
          <w:shd w:val="clear" w:color="auto" w:fill="FFFFFF"/>
        </w:rPr>
      </w:pPr>
    </w:p>
    <w:p w14:paraId="7E7A9537" w14:textId="77777777" w:rsidR="008F034B" w:rsidRPr="00352C3D"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lastRenderedPageBreak/>
        <w:t xml:space="preserve">Superficie frontal de exhibición en envases cilíndricos (Numeral 3.49): </w:t>
      </w:r>
      <w:r>
        <w:rPr>
          <w:rFonts w:asciiTheme="minorHAnsi" w:hAnsiTheme="minorHAnsi" w:cstheme="minorHAnsi"/>
          <w:color w:val="000000"/>
          <w:sz w:val="20"/>
          <w:szCs w:val="20"/>
          <w:shd w:val="clear" w:color="auto" w:fill="FFFFFF"/>
        </w:rPr>
        <w:t xml:space="preserve">Propuesta para ajustar la SFE en envases con base circular, para evitar el ocultamiento de la información nutrimental complementaria en los puntos de venta. </w:t>
      </w:r>
    </w:p>
    <w:p w14:paraId="3FBB6C12" w14:textId="77777777" w:rsidR="008F034B" w:rsidRPr="00D27FBE" w:rsidRDefault="008F034B" w:rsidP="002D77CD">
      <w:pPr>
        <w:pStyle w:val="NormalWeb"/>
        <w:numPr>
          <w:ilvl w:val="0"/>
          <w:numId w:val="1"/>
        </w:num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 xml:space="preserve">Tamaño de sellos y leyendas (A5 y A6): </w:t>
      </w:r>
      <w:r w:rsidRPr="00D27FBE">
        <w:rPr>
          <w:rFonts w:asciiTheme="minorHAnsi" w:hAnsiTheme="minorHAnsi" w:cstheme="minorHAnsi"/>
          <w:color w:val="000000"/>
          <w:sz w:val="20"/>
          <w:szCs w:val="20"/>
          <w:shd w:val="clear" w:color="auto" w:fill="FFFFFF"/>
        </w:rPr>
        <w:t>Propuesta para adoptar t</w:t>
      </w:r>
      <w:r>
        <w:rPr>
          <w:rFonts w:asciiTheme="minorHAnsi" w:hAnsiTheme="minorHAnsi" w:cstheme="minorHAnsi"/>
          <w:color w:val="000000"/>
          <w:sz w:val="20"/>
          <w:szCs w:val="20"/>
          <w:shd w:val="clear" w:color="auto" w:fill="FFFFFF"/>
        </w:rPr>
        <w:t>amaños adecuados</w:t>
      </w:r>
      <w:r w:rsidRPr="00D27FBE">
        <w:rPr>
          <w:rFonts w:asciiTheme="minorHAnsi" w:hAnsiTheme="minorHAnsi" w:cstheme="minorHAnsi"/>
          <w:color w:val="000000"/>
          <w:sz w:val="20"/>
          <w:szCs w:val="20"/>
          <w:shd w:val="clear" w:color="auto" w:fill="FFFFFF"/>
        </w:rPr>
        <w:t xml:space="preserve"> de leyendas de advertencia, y garantizar que sean legibles</w:t>
      </w:r>
      <w:r>
        <w:rPr>
          <w:rFonts w:asciiTheme="minorHAnsi" w:hAnsiTheme="minorHAnsi" w:cstheme="minorHAnsi"/>
          <w:color w:val="000000"/>
          <w:sz w:val="20"/>
          <w:szCs w:val="20"/>
          <w:shd w:val="clear" w:color="auto" w:fill="FFFFFF"/>
        </w:rPr>
        <w:t xml:space="preserve"> al consumidor</w:t>
      </w: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1276"/>
        <w:gridCol w:w="1559"/>
        <w:gridCol w:w="3260"/>
        <w:gridCol w:w="3402"/>
        <w:gridCol w:w="3261"/>
      </w:tblGrid>
      <w:tr w:rsidR="008F034B" w:rsidRPr="00245571" w14:paraId="447C1C49" w14:textId="77777777" w:rsidTr="00C41B7F">
        <w:trPr>
          <w:cantSplit/>
          <w:trHeight w:val="255"/>
        </w:trPr>
        <w:tc>
          <w:tcPr>
            <w:tcW w:w="14034" w:type="dxa"/>
            <w:gridSpan w:val="6"/>
          </w:tcPr>
          <w:p w14:paraId="142DC994" w14:textId="77777777" w:rsidR="008F034B" w:rsidRDefault="008F034B" w:rsidP="00C41B7F">
            <w:pPr>
              <w:keepLines/>
              <w:spacing w:before="40" w:after="40" w:line="180" w:lineRule="exact"/>
              <w:jc w:val="center"/>
              <w:rPr>
                <w:rFonts w:asciiTheme="minorHAnsi" w:hAnsiTheme="minorHAnsi" w:cstheme="minorHAnsi"/>
                <w:b/>
                <w:sz w:val="20"/>
              </w:rPr>
            </w:pPr>
            <w:r w:rsidRPr="00036F26">
              <w:rPr>
                <w:rFonts w:asciiTheme="minorHAnsi" w:hAnsiTheme="minorHAnsi" w:cstheme="minorHAnsi"/>
                <w:b/>
                <w:sz w:val="20"/>
              </w:rPr>
              <w:t>Comentarios al Proyecto de Modificación al numeral 4.5</w:t>
            </w:r>
            <w:r>
              <w:rPr>
                <w:rFonts w:asciiTheme="minorHAnsi" w:hAnsiTheme="minorHAnsi" w:cstheme="minorHAnsi"/>
                <w:b/>
                <w:sz w:val="20"/>
              </w:rPr>
              <w:t>.3 de la NOM-051-SCFI/SSA1-2010</w:t>
            </w:r>
          </w:p>
          <w:p w14:paraId="3B9B00D7" w14:textId="77777777" w:rsidR="008F034B" w:rsidRPr="00036F26" w:rsidRDefault="008F034B" w:rsidP="00C41B7F">
            <w:pPr>
              <w:keepLines/>
              <w:spacing w:before="40" w:after="40" w:line="180" w:lineRule="exact"/>
              <w:jc w:val="center"/>
              <w:rPr>
                <w:rFonts w:asciiTheme="minorHAnsi" w:hAnsiTheme="minorHAnsi" w:cstheme="minorHAnsi"/>
                <w:b/>
                <w:sz w:val="20"/>
              </w:rPr>
            </w:pPr>
            <w:r w:rsidRPr="00036F26">
              <w:rPr>
                <w:rFonts w:asciiTheme="minorHAnsi" w:hAnsiTheme="minorHAnsi" w:cstheme="minorHAnsi"/>
                <w:b/>
                <w:sz w:val="20"/>
              </w:rPr>
              <w:t>(Publicado en el Diario Oficial de la Federación el 5 de diciembre de 2025)</w:t>
            </w:r>
          </w:p>
        </w:tc>
      </w:tr>
      <w:tr w:rsidR="008F034B" w:rsidRPr="00245571" w14:paraId="281A17BE" w14:textId="77777777" w:rsidTr="00C41B7F">
        <w:trPr>
          <w:cantSplit/>
          <w:trHeight w:val="1305"/>
        </w:trPr>
        <w:tc>
          <w:tcPr>
            <w:tcW w:w="1276" w:type="dxa"/>
          </w:tcPr>
          <w:p w14:paraId="6855F0BD"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440162CB"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Nombre (persona física o moral)</w:t>
            </w:r>
            <w:r w:rsidRPr="00036F26">
              <w:rPr>
                <w:rFonts w:asciiTheme="minorHAnsi" w:hAnsiTheme="minorHAnsi" w:cstheme="minorHAnsi"/>
                <w:b/>
                <w:sz w:val="20"/>
              </w:rPr>
              <w:br/>
            </w:r>
          </w:p>
        </w:tc>
        <w:tc>
          <w:tcPr>
            <w:tcW w:w="1276" w:type="dxa"/>
          </w:tcPr>
          <w:p w14:paraId="0437E150"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Capítulo No./</w:t>
            </w:r>
            <w:r w:rsidRPr="00036F26">
              <w:rPr>
                <w:rFonts w:asciiTheme="minorHAnsi" w:hAnsiTheme="minorHAnsi" w:cstheme="minorHAnsi"/>
                <w:b/>
                <w:sz w:val="20"/>
              </w:rPr>
              <w:br/>
              <w:t>Inciso No./</w:t>
            </w:r>
            <w:r w:rsidRPr="00036F26">
              <w:rPr>
                <w:rFonts w:asciiTheme="minorHAnsi" w:hAnsiTheme="minorHAnsi" w:cstheme="minorHAnsi"/>
                <w:b/>
                <w:sz w:val="20"/>
              </w:rPr>
              <w:br/>
              <w:t>Anexo</w:t>
            </w:r>
            <w:r w:rsidRPr="00036F26">
              <w:rPr>
                <w:rFonts w:asciiTheme="minorHAnsi" w:hAnsiTheme="minorHAnsi" w:cstheme="minorHAnsi"/>
                <w:b/>
                <w:sz w:val="20"/>
              </w:rPr>
              <w:br/>
            </w:r>
            <w:r w:rsidRPr="00036F26">
              <w:rPr>
                <w:rFonts w:asciiTheme="minorHAnsi" w:hAnsiTheme="minorHAnsi" w:cstheme="minorHAnsi"/>
                <w:b/>
                <w:bCs/>
                <w:sz w:val="20"/>
              </w:rPr>
              <w:t>(ej. 3.1)</w:t>
            </w:r>
          </w:p>
        </w:tc>
        <w:tc>
          <w:tcPr>
            <w:tcW w:w="1559" w:type="dxa"/>
          </w:tcPr>
          <w:p w14:paraId="6ECB6C30"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0D025B23"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Tipo de comentario*</w:t>
            </w:r>
          </w:p>
        </w:tc>
        <w:tc>
          <w:tcPr>
            <w:tcW w:w="3260" w:type="dxa"/>
          </w:tcPr>
          <w:p w14:paraId="2E6EFE32"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731A8BA5"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Texto original</w:t>
            </w:r>
          </w:p>
        </w:tc>
        <w:tc>
          <w:tcPr>
            <w:tcW w:w="3402" w:type="dxa"/>
          </w:tcPr>
          <w:p w14:paraId="5C6C1DB8"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3ABD0186"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Cambio propuesto</w:t>
            </w:r>
          </w:p>
        </w:tc>
        <w:tc>
          <w:tcPr>
            <w:tcW w:w="3261" w:type="dxa"/>
          </w:tcPr>
          <w:p w14:paraId="7FF037CF"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3D9A0100" w14:textId="77777777" w:rsidR="008F034B" w:rsidRPr="00036F26" w:rsidRDefault="008F034B" w:rsidP="00C41B7F">
            <w:pPr>
              <w:keepLines/>
              <w:spacing w:before="100" w:after="60" w:line="190" w:lineRule="exact"/>
              <w:jc w:val="center"/>
              <w:rPr>
                <w:rFonts w:asciiTheme="minorHAnsi" w:hAnsiTheme="minorHAnsi" w:cstheme="minorHAnsi"/>
                <w:b/>
                <w:sz w:val="20"/>
              </w:rPr>
            </w:pPr>
            <w:r w:rsidRPr="00036F26">
              <w:rPr>
                <w:rFonts w:asciiTheme="minorHAnsi" w:hAnsiTheme="minorHAnsi" w:cstheme="minorHAnsi"/>
                <w:b/>
                <w:sz w:val="20"/>
              </w:rPr>
              <w:t>Justificación del cambio</w:t>
            </w:r>
          </w:p>
          <w:p w14:paraId="58254021"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r>
      <w:tr w:rsidR="008F034B" w:rsidRPr="00245571" w14:paraId="34907EFF" w14:textId="77777777" w:rsidTr="00C41B7F">
        <w:trPr>
          <w:cantSplit/>
          <w:trHeight w:val="1305"/>
        </w:trPr>
        <w:tc>
          <w:tcPr>
            <w:tcW w:w="1276" w:type="dxa"/>
          </w:tcPr>
          <w:p w14:paraId="0C0DA121" w14:textId="77777777" w:rsidR="008F034B" w:rsidRPr="008F034B" w:rsidRDefault="008F034B" w:rsidP="00C41B7F">
            <w:pPr>
              <w:keepLines/>
              <w:spacing w:before="100" w:after="60" w:line="190" w:lineRule="exact"/>
              <w:jc w:val="center"/>
              <w:rPr>
                <w:rFonts w:asciiTheme="minorHAnsi" w:hAnsiTheme="minorHAnsi" w:cstheme="minorHAnsi"/>
                <w:sz w:val="20"/>
                <w:highlight w:val="yellow"/>
              </w:rPr>
            </w:pPr>
          </w:p>
        </w:tc>
        <w:tc>
          <w:tcPr>
            <w:tcW w:w="1276" w:type="dxa"/>
          </w:tcPr>
          <w:p w14:paraId="01EB1EF2"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4.5.3 Información nutrimental complementaria</w:t>
            </w:r>
          </w:p>
        </w:tc>
        <w:tc>
          <w:tcPr>
            <w:tcW w:w="1559" w:type="dxa"/>
          </w:tcPr>
          <w:p w14:paraId="340EE6FB"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Técnico</w:t>
            </w:r>
          </w:p>
        </w:tc>
        <w:tc>
          <w:tcPr>
            <w:tcW w:w="3260" w:type="dxa"/>
          </w:tcPr>
          <w:p w14:paraId="3AC00673"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Debe incluirse la información nutrimental complementaria en la etiqueta de los alimentos o bebidas no alcohólicas preenvasados cuando se añadan nutrimentos críticos. La evaluación de la información nutrimental complementaria se realizará con los criterios:</w:t>
            </w:r>
          </w:p>
          <w:p w14:paraId="73C43D65"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 xml:space="preserve"> a) Si se agregan azúcares añadidos, se deberán evaluar azúcares y calorías. </w:t>
            </w:r>
          </w:p>
          <w:p w14:paraId="4A7440CE"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 xml:space="preserve">b) Si se agregan grasas, se deberán evaluar grasas saturadas, grasas trans y calorías. </w:t>
            </w:r>
          </w:p>
          <w:p w14:paraId="68E6F514"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c) Si se agrega sodio, sólo se deberá evaluar sodio. El cálculo de la información nutrimental complementaria se debe realizar conforme a los perfiles nutrimentales establecidos en la Tabla 6</w:t>
            </w:r>
          </w:p>
        </w:tc>
        <w:tc>
          <w:tcPr>
            <w:tcW w:w="3402" w:type="dxa"/>
          </w:tcPr>
          <w:p w14:paraId="7F54DCB9" w14:textId="77777777" w:rsidR="008F034B" w:rsidRPr="00036F26" w:rsidRDefault="008F034B" w:rsidP="00C41B7F">
            <w:pPr>
              <w:rPr>
                <w:rFonts w:asciiTheme="minorHAnsi" w:hAnsiTheme="minorHAnsi" w:cstheme="minorHAnsi"/>
                <w:sz w:val="20"/>
              </w:rPr>
            </w:pPr>
            <w:r w:rsidRPr="00036F26">
              <w:rPr>
                <w:rFonts w:asciiTheme="minorHAnsi" w:eastAsia="Arial" w:hAnsiTheme="minorHAnsi" w:cstheme="minorHAnsi"/>
                <w:color w:val="000000"/>
                <w:sz w:val="20"/>
              </w:rPr>
              <w:t xml:space="preserve">Conservar la propuesta de criterios y valores para efectuar el </w:t>
            </w:r>
            <w:r w:rsidRPr="00036F26">
              <w:rPr>
                <w:rFonts w:asciiTheme="minorHAnsi" w:hAnsiTheme="minorHAnsi" w:cstheme="minorHAnsi"/>
                <w:sz w:val="20"/>
              </w:rPr>
              <w:t xml:space="preserve">cálculo y evaluación de la información nutrimental complementaria </w:t>
            </w:r>
            <w:r w:rsidRPr="00036F26">
              <w:rPr>
                <w:rFonts w:asciiTheme="minorHAnsi" w:eastAsia="Arial" w:hAnsiTheme="minorHAnsi" w:cstheme="minorHAnsi"/>
                <w:color w:val="000000"/>
                <w:sz w:val="20"/>
              </w:rPr>
              <w:t>y transitar a la Tercera Fase, como fue originalmente planteado en 2020 para cumplir con los parámetros del Modelo de Perfil de Nutrientes de la Organización Panamericana de la Salud</w:t>
            </w:r>
            <w:r w:rsidRPr="00036F26">
              <w:rPr>
                <w:rStyle w:val="Refdenotaalpie"/>
                <w:rFonts w:asciiTheme="minorHAnsi" w:eastAsia="Arial" w:hAnsiTheme="minorHAnsi" w:cstheme="minorHAnsi"/>
                <w:color w:val="000000"/>
                <w:sz w:val="20"/>
              </w:rPr>
              <w:footnoteReference w:id="2"/>
            </w:r>
            <w:r w:rsidRPr="00036F26">
              <w:rPr>
                <w:rFonts w:asciiTheme="minorHAnsi" w:eastAsia="Arial" w:hAnsiTheme="minorHAnsi" w:cstheme="minorHAnsi"/>
                <w:color w:val="000000"/>
                <w:sz w:val="20"/>
              </w:rPr>
              <w:t>.</w:t>
            </w:r>
            <w:r w:rsidRPr="00036F26">
              <w:rPr>
                <w:rFonts w:asciiTheme="minorHAnsi" w:hAnsiTheme="minorHAnsi" w:cstheme="minorHAnsi"/>
                <w:sz w:val="20"/>
              </w:rPr>
              <w:t xml:space="preserve"> </w:t>
            </w:r>
          </w:p>
          <w:p w14:paraId="75A4AAF3" w14:textId="77777777" w:rsidR="008F034B" w:rsidRPr="00036F26" w:rsidRDefault="008F034B" w:rsidP="00C41B7F">
            <w:pPr>
              <w:keepLines/>
              <w:spacing w:before="100" w:after="60" w:line="190" w:lineRule="exact"/>
              <w:jc w:val="center"/>
              <w:rPr>
                <w:rFonts w:asciiTheme="minorHAnsi" w:hAnsiTheme="minorHAnsi" w:cstheme="minorHAnsi"/>
                <w:sz w:val="20"/>
              </w:rPr>
            </w:pPr>
          </w:p>
        </w:tc>
        <w:tc>
          <w:tcPr>
            <w:tcW w:w="3261" w:type="dxa"/>
          </w:tcPr>
          <w:p w14:paraId="493F3552"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 xml:space="preserve">La implementación íntegra de este modelo de perfil nutrimental permite la evaluación completa de productos altos en sodio y grasas saturadas, como carnes procesadas y embutidos, que actualmente no están alertando sobre el elevado contenido de estos nutrimentos críticos. </w:t>
            </w:r>
          </w:p>
          <w:p w14:paraId="18ED6D2C" w14:textId="77777777" w:rsidR="008F034B" w:rsidRPr="00036F26" w:rsidRDefault="008F034B" w:rsidP="00C41B7F">
            <w:pPr>
              <w:rPr>
                <w:rFonts w:asciiTheme="minorHAnsi" w:hAnsiTheme="minorHAnsi" w:cstheme="minorHAnsi"/>
                <w:sz w:val="20"/>
              </w:rPr>
            </w:pPr>
          </w:p>
          <w:p w14:paraId="6781F76A"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De acuerdo con INEGI (2024), las enfermedades del corazón representan la principal causa de muerte en el país</w:t>
            </w:r>
            <w:r w:rsidRPr="00036F26">
              <w:rPr>
                <w:rStyle w:val="Refdenotaalpie"/>
                <w:rFonts w:asciiTheme="minorHAnsi" w:hAnsiTheme="minorHAnsi" w:cstheme="minorHAnsi"/>
                <w:sz w:val="20"/>
              </w:rPr>
              <w:footnoteReference w:id="3"/>
            </w:r>
            <w:r w:rsidRPr="00036F26">
              <w:rPr>
                <w:rFonts w:asciiTheme="minorHAnsi" w:hAnsiTheme="minorHAnsi" w:cstheme="minorHAnsi"/>
                <w:sz w:val="20"/>
              </w:rPr>
              <w:t xml:space="preserve">. En este sentido, las advertencias sanitarias enfocadas en estos nutrimentos críticos como sodio, grasas saturadas o trans contenidas de manera intrínseca en algunos productos, representan un paso necesario para la implementación de estrategias de prevención integrales que protejan la salud de la población en México. </w:t>
            </w:r>
          </w:p>
          <w:p w14:paraId="7FFD93D1" w14:textId="77777777" w:rsidR="008F034B" w:rsidRPr="00036F26" w:rsidRDefault="008F034B" w:rsidP="00C41B7F">
            <w:pPr>
              <w:rPr>
                <w:rFonts w:asciiTheme="minorHAnsi" w:hAnsiTheme="minorHAnsi" w:cstheme="minorHAnsi"/>
                <w:sz w:val="20"/>
              </w:rPr>
            </w:pPr>
          </w:p>
          <w:p w14:paraId="3E1CB1DC"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 xml:space="preserve">Además, el etiquetado frontal ha demostrado ser una estrategia costo-efectiva para disminuir el consumo poblacional de otros nutrimentos críticos como el sodio, azúcar, grasas saturadas, grasas totales y ácidos </w:t>
            </w:r>
            <w:r w:rsidRPr="00036F26">
              <w:rPr>
                <w:rFonts w:asciiTheme="minorHAnsi" w:hAnsiTheme="minorHAnsi" w:cstheme="minorHAnsi"/>
                <w:sz w:val="20"/>
              </w:rPr>
              <w:lastRenderedPageBreak/>
              <w:t xml:space="preserve">grasos trans, y diferentes estudios han comprobado su buen entendimiento entre consumidores mexicanos de ingresos bajos y medios, e incluso niños y niñas. </w:t>
            </w:r>
          </w:p>
          <w:p w14:paraId="6DE0255A" w14:textId="77777777" w:rsidR="008F034B" w:rsidRPr="00036F26" w:rsidRDefault="008F034B" w:rsidP="00C41B7F">
            <w:pPr>
              <w:rPr>
                <w:rFonts w:asciiTheme="minorHAnsi" w:hAnsiTheme="minorHAnsi" w:cstheme="minorHAnsi"/>
                <w:sz w:val="20"/>
              </w:rPr>
            </w:pPr>
          </w:p>
          <w:p w14:paraId="4B05E521"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Por ende, conservar las tres fases como fueron planteadas originalmente en la modificación de 2020, y</w:t>
            </w:r>
            <w:r w:rsidRPr="00036F26">
              <w:rPr>
                <w:rFonts w:asciiTheme="minorHAnsi" w:hAnsiTheme="minorHAnsi" w:cstheme="minorHAnsi"/>
                <w:color w:val="000000"/>
                <w:sz w:val="20"/>
                <w:shd w:val="clear" w:color="auto" w:fill="FFFFFF"/>
              </w:rPr>
              <w:t xml:space="preserve"> la aplicación íntegra de las disposiciones contenidas en los incisos 4.5.3, así como la Tabla 6 relativa a los Perfiles Nutrimentales, </w:t>
            </w:r>
            <w:r w:rsidRPr="00036F26">
              <w:rPr>
                <w:rFonts w:asciiTheme="minorHAnsi" w:hAnsiTheme="minorHAnsi" w:cstheme="minorHAnsi"/>
                <w:sz w:val="20"/>
              </w:rPr>
              <w:t>permite avanzar con el curso de una política para la prevención de las enfermedades crónicas en México.</w:t>
            </w:r>
          </w:p>
          <w:p w14:paraId="3C341182"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r>
      <w:tr w:rsidR="008F034B" w:rsidRPr="00245571" w14:paraId="177E0C4C" w14:textId="77777777" w:rsidTr="00C41B7F">
        <w:trPr>
          <w:cantSplit/>
          <w:trHeight w:val="1305"/>
        </w:trPr>
        <w:tc>
          <w:tcPr>
            <w:tcW w:w="1276" w:type="dxa"/>
          </w:tcPr>
          <w:p w14:paraId="2664BD27"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vAlign w:val="center"/>
          </w:tcPr>
          <w:p w14:paraId="01B943B5" w14:textId="77777777" w:rsidR="008F034B" w:rsidRPr="00036F2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4.5.3.2</w:t>
            </w:r>
          </w:p>
        </w:tc>
        <w:tc>
          <w:tcPr>
            <w:tcW w:w="1559" w:type="dxa"/>
            <w:vAlign w:val="center"/>
          </w:tcPr>
          <w:p w14:paraId="3B67359F" w14:textId="77777777" w:rsidR="008F034B" w:rsidRPr="008F034B" w:rsidRDefault="008F034B" w:rsidP="00C41B7F">
            <w:pPr>
              <w:keepLines/>
              <w:spacing w:before="100" w:after="60" w:line="190" w:lineRule="exact"/>
              <w:jc w:val="center"/>
              <w:rPr>
                <w:rFonts w:asciiTheme="minorHAnsi" w:hAnsiTheme="minorHAnsi" w:cstheme="minorHAnsi"/>
                <w:sz w:val="20"/>
              </w:rPr>
            </w:pPr>
            <w:r w:rsidRPr="008F034B">
              <w:rPr>
                <w:rFonts w:asciiTheme="minorHAnsi" w:eastAsia="Arial" w:hAnsiTheme="minorHAnsi" w:cstheme="minorHAnsi"/>
                <w:color w:val="000000"/>
                <w:sz w:val="20"/>
              </w:rPr>
              <w:t>Técnico</w:t>
            </w:r>
          </w:p>
        </w:tc>
        <w:tc>
          <w:tcPr>
            <w:tcW w:w="3260" w:type="dxa"/>
          </w:tcPr>
          <w:p w14:paraId="0180D774" w14:textId="77777777" w:rsidR="008F034B" w:rsidRDefault="008F034B" w:rsidP="00C41B7F">
            <w:pPr>
              <w:pStyle w:val="Default"/>
              <w:jc w:val="both"/>
              <w:rPr>
                <w:rFonts w:asciiTheme="minorHAnsi" w:hAnsiTheme="minorHAnsi" w:cstheme="minorHAnsi"/>
                <w:sz w:val="20"/>
                <w:szCs w:val="20"/>
              </w:rPr>
            </w:pPr>
          </w:p>
          <w:p w14:paraId="46D63A95" w14:textId="77777777" w:rsidR="008F034B" w:rsidRDefault="008F034B" w:rsidP="00C41B7F">
            <w:pPr>
              <w:pStyle w:val="Default"/>
              <w:jc w:val="both"/>
              <w:rPr>
                <w:rFonts w:asciiTheme="minorHAnsi" w:hAnsiTheme="minorHAnsi" w:cstheme="minorHAnsi"/>
                <w:sz w:val="20"/>
                <w:szCs w:val="20"/>
              </w:rPr>
            </w:pPr>
          </w:p>
          <w:p w14:paraId="23923DE0"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4.5.3.2 En los productos destinados a ser reconstituidos o que requieran preparación antes de ser</w:t>
            </w:r>
          </w:p>
          <w:p w14:paraId="3C5C6DDA"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consumidos, la información nutrimental complementaria se debe declarar conforme a los contenidos de</w:t>
            </w:r>
          </w:p>
          <w:p w14:paraId="40EF15DE" w14:textId="77777777" w:rsidR="008F034B" w:rsidRPr="00036F2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energía, de azúcares libres, grasas saturadas, grasas trans (con excepción de las presentes en productos lácteos y cárnicos de manera natural para el caso de las grasas trans), o de sodio del producto tal como se consume, de acuerdo con las instrucciones indicadas en la etiqueta.</w:t>
            </w:r>
          </w:p>
        </w:tc>
        <w:tc>
          <w:tcPr>
            <w:tcW w:w="3402" w:type="dxa"/>
          </w:tcPr>
          <w:p w14:paraId="2F26BF0A" w14:textId="77777777" w:rsidR="008F034B" w:rsidRDefault="008F034B" w:rsidP="00C41B7F">
            <w:pPr>
              <w:keepLines/>
              <w:spacing w:before="100" w:after="60" w:line="190" w:lineRule="exact"/>
              <w:rPr>
                <w:rFonts w:asciiTheme="minorHAnsi" w:hAnsiTheme="minorHAnsi" w:cstheme="minorHAnsi"/>
                <w:sz w:val="20"/>
              </w:rPr>
            </w:pPr>
          </w:p>
          <w:p w14:paraId="7C7BB0DB"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4.5.3.2 En los productos destinados a ser reconstituidos o que requieran preparación antes de ser</w:t>
            </w:r>
            <w:r>
              <w:rPr>
                <w:rFonts w:asciiTheme="minorHAnsi" w:hAnsiTheme="minorHAnsi" w:cstheme="minorHAnsi"/>
                <w:sz w:val="20"/>
              </w:rPr>
              <w:t xml:space="preserve"> </w:t>
            </w:r>
            <w:r w:rsidRPr="005021A6">
              <w:rPr>
                <w:rFonts w:asciiTheme="minorHAnsi" w:hAnsiTheme="minorHAnsi" w:cstheme="minorHAnsi"/>
                <w:sz w:val="20"/>
              </w:rPr>
              <w:t xml:space="preserve">consumidos, la información nutrimental deberá presentarse por 100 g o 100 mL del producto sin reconstituir. </w:t>
            </w:r>
          </w:p>
          <w:p w14:paraId="303CB3AD" w14:textId="77777777" w:rsidR="008F034B" w:rsidRPr="005021A6" w:rsidRDefault="008F034B" w:rsidP="00C41B7F">
            <w:pPr>
              <w:keepLines/>
              <w:spacing w:before="100" w:after="60" w:line="190" w:lineRule="exact"/>
              <w:rPr>
                <w:rFonts w:asciiTheme="minorHAnsi" w:hAnsiTheme="minorHAnsi" w:cstheme="minorHAnsi"/>
                <w:sz w:val="20"/>
              </w:rPr>
            </w:pPr>
          </w:p>
          <w:p w14:paraId="23C5BFE7"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Adicionalmente, podrá incluirse la información nutrimental conforme a las instrucciones de preparación indicadas en la etiqueta, siempre que se especifiquen claramente los ingredientes añadidos y las cantidades utilizadas.</w:t>
            </w:r>
          </w:p>
          <w:p w14:paraId="745FC267" w14:textId="77777777" w:rsidR="008F034B" w:rsidRPr="005021A6" w:rsidRDefault="008F034B" w:rsidP="00C41B7F">
            <w:pPr>
              <w:keepLines/>
              <w:spacing w:before="100" w:after="60" w:line="190" w:lineRule="exact"/>
              <w:rPr>
                <w:rFonts w:asciiTheme="minorHAnsi" w:hAnsiTheme="minorHAnsi" w:cstheme="minorHAnsi"/>
                <w:sz w:val="20"/>
              </w:rPr>
            </w:pPr>
          </w:p>
          <w:p w14:paraId="18B1E02F" w14:textId="77777777" w:rsidR="008F034B" w:rsidRPr="00245571"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Para el caso de la información nutrimental complementaria, esta deberá evaluarse conforme a los contenidos de energía, azúcares libres, grasas saturadas, grasas trans o sodio, del producto preenvasado antes de ser reconstituido o preparado, de acuerdo a la información de la tabla nutrimental del producto.</w:t>
            </w:r>
          </w:p>
        </w:tc>
        <w:tc>
          <w:tcPr>
            <w:tcW w:w="3261" w:type="dxa"/>
          </w:tcPr>
          <w:p w14:paraId="7AF21ACD"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Actualmente, existen productos destinados a ser reconstituidos (sopas instantáneas, polvos que se diluyen, como chocolate en polvo, leche en polvo, gelatinas en polvo, sazonadores) que no muestran la información nutrimental del producto original, antes de ser reconstituido, esto representa una falta de información al consumidor. </w:t>
            </w:r>
          </w:p>
          <w:p w14:paraId="34FB1F5D"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Por lo que es necesario que se establezca de manera obligatoria la declaración de esta información por 100 g o 100 ml del producto antes de ser reconstituido, esto permitirá una evaluación completa y una mayor claridad al consumidor sobre la naturaleza de este.  </w:t>
            </w:r>
          </w:p>
          <w:p w14:paraId="20EEF40D"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Bajo este mismo argumento, resulta necesario ajustar la información nutrimental complementaria del contenido de azúcares, grasas saturadas, grasas, trans, sodio y calorías, evaluando el producto en su forma original y antes de ser reconstituido, ya que actualmente se realiza bajo el criterio del producto listo para el consumo, con la sugerencia de preparación del </w:t>
            </w:r>
            <w:r w:rsidRPr="005021A6">
              <w:rPr>
                <w:rFonts w:asciiTheme="minorHAnsi" w:hAnsiTheme="minorHAnsi" w:cstheme="minorHAnsi"/>
                <w:sz w:val="20"/>
              </w:rPr>
              <w:lastRenderedPageBreak/>
              <w:t>fabricante. Esto hace que no se identifiquen en algunos productos los nutrimentos críticos en exceso por su dilución en medios líquidos o por la adición de otros alimentos/ingredientes, escondiendo la verdadera naturaleza del producto.</w:t>
            </w:r>
          </w:p>
          <w:p w14:paraId="0A155238"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Por ejemplo, un sazonador, que contiene una alta cantidad de sodio, queda exento del sello de “exceso de sodio”, por su dilución en agua.</w:t>
            </w:r>
          </w:p>
          <w:p w14:paraId="6EFFEA5C" w14:textId="77777777" w:rsidR="008F034B" w:rsidRPr="005021A6" w:rsidRDefault="003C038A" w:rsidP="00C41B7F">
            <w:pPr>
              <w:rPr>
                <w:rFonts w:asciiTheme="minorHAnsi" w:hAnsiTheme="minorHAnsi" w:cstheme="minorHAnsi"/>
                <w:sz w:val="20"/>
              </w:rPr>
            </w:pPr>
            <w:hyperlink r:id="rId8" w:history="1">
              <w:r w:rsidR="008F034B" w:rsidRPr="008D65BA">
                <w:rPr>
                  <w:rStyle w:val="Hipervnculo"/>
                  <w:rFonts w:asciiTheme="minorHAnsi" w:hAnsiTheme="minorHAnsi" w:cstheme="minorHAnsi"/>
                  <w:sz w:val="20"/>
                </w:rPr>
                <w:t>https://elpoderdelconsumidor.org/2022/08/radiografia-de-cubos-sazonadores-caldo-de-vegetales-knorr/</w:t>
              </w:r>
            </w:hyperlink>
            <w:r w:rsidR="008F034B">
              <w:rPr>
                <w:rFonts w:asciiTheme="minorHAnsi" w:hAnsiTheme="minorHAnsi" w:cstheme="minorHAnsi"/>
                <w:sz w:val="20"/>
              </w:rPr>
              <w:t xml:space="preserve"> </w:t>
            </w:r>
          </w:p>
          <w:p w14:paraId="6ACEB837" w14:textId="77777777" w:rsidR="008F034B" w:rsidRPr="00036F26" w:rsidDel="00711B75" w:rsidRDefault="008F034B" w:rsidP="00C41B7F">
            <w:pPr>
              <w:rPr>
                <w:rFonts w:asciiTheme="minorHAnsi" w:hAnsiTheme="minorHAnsi" w:cstheme="minorHAnsi"/>
                <w:sz w:val="20"/>
              </w:rPr>
            </w:pPr>
            <w:r w:rsidRPr="005021A6">
              <w:rPr>
                <w:rFonts w:asciiTheme="minorHAnsi" w:hAnsiTheme="minorHAnsi" w:cstheme="minorHAnsi"/>
                <w:sz w:val="20"/>
              </w:rPr>
              <w:t>Por otro lado, la sugerencia de preparación del fabricante no siempre representa la forma en la que el consumidor reconstituye/ utiliza el producto, induciendo a un error y una mala interpretación de la información declarada en una base no estandarizada.</w:t>
            </w:r>
          </w:p>
        </w:tc>
      </w:tr>
      <w:tr w:rsidR="008F034B" w:rsidRPr="00245571" w14:paraId="0E5DA77D" w14:textId="77777777" w:rsidTr="00C41B7F">
        <w:trPr>
          <w:cantSplit/>
          <w:trHeight w:val="1305"/>
        </w:trPr>
        <w:tc>
          <w:tcPr>
            <w:tcW w:w="1276" w:type="dxa"/>
          </w:tcPr>
          <w:p w14:paraId="59AA6BE4"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vAlign w:val="center"/>
          </w:tcPr>
          <w:p w14:paraId="79F9F113" w14:textId="77777777" w:rsidR="008F034B" w:rsidRPr="005021A6" w:rsidRDefault="008F034B" w:rsidP="00C41B7F">
            <w:pPr>
              <w:keepLines/>
              <w:spacing w:before="100" w:after="60" w:line="190" w:lineRule="exact"/>
              <w:rPr>
                <w:rFonts w:asciiTheme="minorHAnsi" w:hAnsiTheme="minorHAnsi" w:cstheme="minorHAnsi"/>
                <w:sz w:val="20"/>
              </w:rPr>
            </w:pPr>
            <w:r>
              <w:rPr>
                <w:rFonts w:eastAsia="Arial" w:cs="Arial"/>
                <w:b/>
                <w:color w:val="000000"/>
                <w:sz w:val="20"/>
              </w:rPr>
              <w:t>4.5.3.3</w:t>
            </w:r>
          </w:p>
        </w:tc>
        <w:tc>
          <w:tcPr>
            <w:tcW w:w="1559" w:type="dxa"/>
            <w:vAlign w:val="center"/>
          </w:tcPr>
          <w:p w14:paraId="04A271A6" w14:textId="77777777" w:rsidR="008F034B" w:rsidRPr="008F034B" w:rsidRDefault="008F034B" w:rsidP="00C41B7F">
            <w:pPr>
              <w:keepLines/>
              <w:spacing w:before="100" w:after="60" w:line="190" w:lineRule="exact"/>
              <w:jc w:val="center"/>
              <w:rPr>
                <w:rFonts w:asciiTheme="minorHAnsi" w:eastAsia="Arial" w:hAnsiTheme="minorHAnsi" w:cstheme="minorHAnsi"/>
                <w:color w:val="000000"/>
                <w:sz w:val="20"/>
              </w:rPr>
            </w:pPr>
            <w:r w:rsidRPr="008F034B">
              <w:rPr>
                <w:rFonts w:asciiTheme="minorHAnsi" w:eastAsia="Arial" w:hAnsiTheme="minorHAnsi" w:cstheme="minorHAnsi"/>
                <w:color w:val="000000"/>
                <w:sz w:val="20"/>
              </w:rPr>
              <w:t>Técnico</w:t>
            </w:r>
          </w:p>
        </w:tc>
        <w:tc>
          <w:tcPr>
            <w:tcW w:w="3260" w:type="dxa"/>
          </w:tcPr>
          <w:p w14:paraId="66EE97A3" w14:textId="77777777" w:rsidR="008F034B" w:rsidRDefault="008F034B" w:rsidP="00C41B7F">
            <w:pPr>
              <w:pStyle w:val="Default"/>
              <w:jc w:val="both"/>
              <w:rPr>
                <w:rFonts w:asciiTheme="minorHAnsi" w:hAnsiTheme="minorHAnsi" w:cstheme="minorHAnsi"/>
                <w:sz w:val="20"/>
                <w:szCs w:val="20"/>
              </w:rPr>
            </w:pPr>
          </w:p>
          <w:p w14:paraId="6A3C3A1B" w14:textId="77777777" w:rsidR="008F034B" w:rsidRDefault="008F034B" w:rsidP="00C41B7F">
            <w:pPr>
              <w:pStyle w:val="Default"/>
              <w:jc w:val="both"/>
              <w:rPr>
                <w:rFonts w:asciiTheme="minorHAnsi" w:hAnsiTheme="minorHAnsi" w:cstheme="minorHAnsi"/>
                <w:sz w:val="20"/>
                <w:szCs w:val="20"/>
              </w:rPr>
            </w:pPr>
          </w:p>
          <w:p w14:paraId="238DFB3F"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4.5.3.3 Quedan exceptuados de la información nutrimental complementaria los productos siguientes:</w:t>
            </w:r>
          </w:p>
          <w:p w14:paraId="18EC66C6"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a) los productos que están exceptuados de la declaración nutrimental, conforme se establece en el numeral 4.5.2.3 excepto los señalados en el inciso vii;</w:t>
            </w:r>
          </w:p>
          <w:p w14:paraId="402F66F6"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b) las fórmulas para lactantes, las fórmulas para lactantes con necesidades especiales de nutrición, las fórmulas de continuación y las fórmulas de continuación para necesidades especiales de nutrición;</w:t>
            </w:r>
          </w:p>
          <w:p w14:paraId="758DCB92"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c) los alimentos y las bebidas no alcohólicas para lactantes y para niños de corta edad que tengan especificaciones nutrimentales para alguno de los siguientes nutrimentos: grasas, azúcares y sodio; conforme</w:t>
            </w:r>
          </w:p>
          <w:p w14:paraId="5BC7A8EF"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se establece en los ordenamientos jurídicos aplicables.</w:t>
            </w:r>
          </w:p>
          <w:p w14:paraId="15A8AD45"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d) aceites vegetales, grasas vegetales o animales; azúcar, miel, sal yodada y sal yodada fluorurada, así</w:t>
            </w:r>
          </w:p>
          <w:p w14:paraId="030BFEBF" w14:textId="77777777" w:rsidR="008F034B"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como harinas de cereal.</w:t>
            </w:r>
          </w:p>
        </w:tc>
        <w:tc>
          <w:tcPr>
            <w:tcW w:w="3402" w:type="dxa"/>
          </w:tcPr>
          <w:p w14:paraId="7E388E38" w14:textId="77777777" w:rsidR="008F034B" w:rsidRDefault="008F034B" w:rsidP="00C41B7F">
            <w:pPr>
              <w:keepLines/>
              <w:spacing w:before="100" w:after="60" w:line="190" w:lineRule="exact"/>
              <w:rPr>
                <w:rFonts w:asciiTheme="minorHAnsi" w:hAnsiTheme="minorHAnsi" w:cstheme="minorHAnsi"/>
                <w:sz w:val="20"/>
              </w:rPr>
            </w:pPr>
          </w:p>
          <w:p w14:paraId="5AB4FA53" w14:textId="77777777" w:rsidR="008F034B" w:rsidRDefault="008F034B" w:rsidP="00C41B7F">
            <w:pPr>
              <w:keepLines/>
              <w:spacing w:before="100" w:after="60" w:line="190" w:lineRule="exact"/>
              <w:rPr>
                <w:rFonts w:asciiTheme="minorHAnsi" w:hAnsiTheme="minorHAnsi" w:cstheme="minorHAnsi"/>
                <w:sz w:val="20"/>
              </w:rPr>
            </w:pPr>
          </w:p>
          <w:p w14:paraId="6BF415FF"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4.5.3.3 Quedan exceptuados de la información nutrimental complementaria los productos siguientes:</w:t>
            </w:r>
          </w:p>
          <w:p w14:paraId="0DFCBB4B"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a) los productos que están exceptuados de la declaración nutrimental, conforme se establece en el</w:t>
            </w:r>
          </w:p>
          <w:p w14:paraId="33A9F634"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numeral 4.5.2.3 excepto los señalados en el inciso vii;</w:t>
            </w:r>
          </w:p>
          <w:p w14:paraId="1A56E715" w14:textId="77777777" w:rsidR="008F034B" w:rsidRPr="00036F26" w:rsidRDefault="008F034B" w:rsidP="00C41B7F">
            <w:pPr>
              <w:keepLines/>
              <w:spacing w:before="100" w:after="60" w:line="190" w:lineRule="exact"/>
              <w:rPr>
                <w:rFonts w:asciiTheme="minorHAnsi" w:hAnsiTheme="minorHAnsi" w:cstheme="minorHAnsi"/>
                <w:strike/>
                <w:sz w:val="20"/>
              </w:rPr>
            </w:pPr>
            <w:r w:rsidRPr="00036F26">
              <w:rPr>
                <w:rFonts w:asciiTheme="minorHAnsi" w:hAnsiTheme="minorHAnsi" w:cstheme="minorHAnsi"/>
                <w:strike/>
                <w:sz w:val="20"/>
              </w:rPr>
              <w:t>b) las fórmulas para lactantes, las fórmulas para lactantes con necesidades especiales de nutrición, las</w:t>
            </w:r>
          </w:p>
          <w:p w14:paraId="12EBE154" w14:textId="77777777" w:rsidR="008F034B" w:rsidRPr="00036F26" w:rsidRDefault="008F034B" w:rsidP="00C41B7F">
            <w:pPr>
              <w:keepLines/>
              <w:spacing w:before="100" w:after="60" w:line="190" w:lineRule="exact"/>
              <w:rPr>
                <w:rFonts w:asciiTheme="minorHAnsi" w:hAnsiTheme="minorHAnsi" w:cstheme="minorHAnsi"/>
                <w:strike/>
                <w:sz w:val="20"/>
              </w:rPr>
            </w:pPr>
            <w:r w:rsidRPr="00036F26">
              <w:rPr>
                <w:rFonts w:asciiTheme="minorHAnsi" w:hAnsiTheme="minorHAnsi" w:cstheme="minorHAnsi"/>
                <w:strike/>
                <w:sz w:val="20"/>
              </w:rPr>
              <w:t>fórmulas de continuación y las fórmulas de continuación para necesidades especiales de nutrición;</w:t>
            </w:r>
          </w:p>
          <w:p w14:paraId="7E301F0A" w14:textId="77777777" w:rsidR="008F034B" w:rsidRPr="00036F26" w:rsidRDefault="008F034B" w:rsidP="00C41B7F">
            <w:pPr>
              <w:keepLines/>
              <w:spacing w:before="100" w:after="60" w:line="190" w:lineRule="exact"/>
              <w:rPr>
                <w:rFonts w:asciiTheme="minorHAnsi" w:hAnsiTheme="minorHAnsi" w:cstheme="minorHAnsi"/>
                <w:strike/>
                <w:sz w:val="20"/>
              </w:rPr>
            </w:pPr>
            <w:r w:rsidRPr="00036F26">
              <w:rPr>
                <w:rFonts w:asciiTheme="minorHAnsi" w:hAnsiTheme="minorHAnsi" w:cstheme="minorHAnsi"/>
                <w:strike/>
                <w:sz w:val="20"/>
              </w:rPr>
              <w:t>c) los alimentos y las bebidas no alcohólicas para lactantes y para niños de corta edad que tengan</w:t>
            </w:r>
          </w:p>
          <w:p w14:paraId="1723C66F" w14:textId="77777777" w:rsidR="008F034B" w:rsidRPr="00036F26" w:rsidRDefault="008F034B" w:rsidP="00C41B7F">
            <w:pPr>
              <w:keepLines/>
              <w:spacing w:before="100" w:after="60" w:line="190" w:lineRule="exact"/>
              <w:rPr>
                <w:rFonts w:asciiTheme="minorHAnsi" w:hAnsiTheme="minorHAnsi" w:cstheme="minorHAnsi"/>
                <w:strike/>
                <w:sz w:val="20"/>
              </w:rPr>
            </w:pPr>
            <w:r w:rsidRPr="00036F26">
              <w:rPr>
                <w:rFonts w:asciiTheme="minorHAnsi" w:hAnsiTheme="minorHAnsi" w:cstheme="minorHAnsi"/>
                <w:strike/>
                <w:sz w:val="20"/>
              </w:rPr>
              <w:t>especificaciones nutrimentales para alguno de los siguientes nutrimentos: grasas, azúcares y sodio; conforme</w:t>
            </w:r>
          </w:p>
          <w:p w14:paraId="52805748" w14:textId="77777777" w:rsidR="008F034B" w:rsidRPr="00036F26" w:rsidRDefault="008F034B" w:rsidP="00C41B7F">
            <w:pPr>
              <w:keepLines/>
              <w:spacing w:before="100" w:after="60" w:line="190" w:lineRule="exact"/>
              <w:rPr>
                <w:rFonts w:asciiTheme="minorHAnsi" w:hAnsiTheme="minorHAnsi" w:cstheme="minorHAnsi"/>
                <w:strike/>
                <w:sz w:val="20"/>
              </w:rPr>
            </w:pPr>
            <w:r w:rsidRPr="00036F26">
              <w:rPr>
                <w:rFonts w:asciiTheme="minorHAnsi" w:hAnsiTheme="minorHAnsi" w:cstheme="minorHAnsi"/>
                <w:strike/>
                <w:sz w:val="20"/>
              </w:rPr>
              <w:t>se establece en los ordenamientos jurídicos aplicables.</w:t>
            </w:r>
          </w:p>
          <w:p w14:paraId="20A13F86" w14:textId="77777777" w:rsidR="008F034B"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b) aceites vegetales, grasas vegetales o animales; azúcar, miel, sal yodada y sal yodada fluorurada, así como harinas de cereal.</w:t>
            </w:r>
          </w:p>
        </w:tc>
        <w:tc>
          <w:tcPr>
            <w:tcW w:w="3261" w:type="dxa"/>
          </w:tcPr>
          <w:p w14:paraId="650EAD67" w14:textId="77777777" w:rsidR="008F034B" w:rsidRDefault="008F034B" w:rsidP="00C41B7F">
            <w:pPr>
              <w:rPr>
                <w:rFonts w:asciiTheme="minorHAnsi" w:hAnsiTheme="minorHAnsi" w:cstheme="minorHAnsi"/>
                <w:sz w:val="20"/>
              </w:rPr>
            </w:pPr>
          </w:p>
          <w:p w14:paraId="7F1F2B52" w14:textId="77777777" w:rsidR="008F034B" w:rsidRDefault="008F034B" w:rsidP="00C41B7F">
            <w:pPr>
              <w:rPr>
                <w:rFonts w:asciiTheme="minorHAnsi" w:hAnsiTheme="minorHAnsi" w:cstheme="minorHAnsi"/>
                <w:sz w:val="20"/>
              </w:rPr>
            </w:pPr>
          </w:p>
          <w:p w14:paraId="69CDDFFF"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La mayoría de las fórmulas y alimentos infantiles contienen alto contenido de azúcares añadidos, grasas trans y sodio, lo que las consideraría, por definición, un producto procesado. Sin embargo, este tipo de productos no contienen en su etiqueta ninguna advertencia o información suficiente que ayude a padres y madres a identificar el exceso de estos ingredientes. </w:t>
            </w:r>
          </w:p>
          <w:p w14:paraId="1A17398B"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https://elpoderdelconsumidor.org/2021/08/radiografia-de-formulas-infantiles-sucedaneos-de-la-leche-materna/?fbclid=IwY2xjawKJ1EtleHRuA2FlbQIxMABicmlkETFRQWU1b29rak1SR1piWmtaAR5KsH5nIkhgAXoOh8cYTV4t2ym7PbMt-rCY-6NRTyXvzidYiC461JOU4M9bBg_aem_ZwYfeKjREracLlXDteQNLQ</w:t>
            </w:r>
          </w:p>
          <w:p w14:paraId="08073F4C"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Por lo anterior, expertos en salud han señalado que todas las fórmulas lácteas, sucedáneos de la leche materna y alimentos infantiles deben incluirse en la NOM 051. </w:t>
            </w:r>
          </w:p>
          <w:p w14:paraId="19140A1F"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https://www.gob.mx/salud/prensa/380-formulas-lacteas-y-alimentos-ultraprocesados-son-daninos-para-ninas-y-ninos-de-cero-a-36-meses#:~:text=F%C3%B3rmulas%20l%C3%A1cteas%20y%20alimentos%20ultraprocesados%20son%20da%C3%B1inos,Secretar%C3%ADa%20de%20Salud%20%7C%20Gobierno%20%7C%20gob.mx.&amp;text=La%20mayor%20parte%20de%20las%20f%C3%B3rmulas%20l%C3%A1cteas,az%C3%BAcares%20a%C3%B1adidas%2C%20grasas%20trans%2C%20sodio%20y%20prote%C3%ADnas</w:t>
            </w:r>
          </w:p>
          <w:p w14:paraId="30D513FD"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Es crucial informar de manera clara al consumidor sobre el exceso de estos nutrimentos críticos, ya que según la evidencia y agrupaciones de expertos como la American Heart Association y la American Academy of Pediatrics, sugiere no iniciar el consumo de azúcar añadida en niños menores de 2 años, por sus múltiples riesgos a la salud metabólica, conductual y habituación a los sabores dulces.</w:t>
            </w:r>
          </w:p>
          <w:p w14:paraId="796CAABF" w14:textId="77777777" w:rsidR="008F034B" w:rsidRPr="00036F26" w:rsidRDefault="008F034B" w:rsidP="00C41B7F">
            <w:pPr>
              <w:rPr>
                <w:rFonts w:asciiTheme="minorHAnsi" w:hAnsiTheme="minorHAnsi" w:cstheme="minorHAnsi"/>
                <w:sz w:val="20"/>
                <w:lang w:val="en-US"/>
              </w:rPr>
            </w:pPr>
            <w:r w:rsidRPr="00036F26">
              <w:rPr>
                <w:rFonts w:asciiTheme="minorHAnsi" w:hAnsiTheme="minorHAnsi" w:cstheme="minorHAnsi"/>
                <w:sz w:val="20"/>
                <w:lang w:val="en-US"/>
              </w:rPr>
              <w:t>Bably MB, Paul R, Laditka SB, Racine EF. Factors Associated with the Initiation of Added Sugar among Low-Income Young Children Participating in the Special Supplemental Nutrition Program for Women, Infants, and Children in the US. Nutrients. 2021 Oct 29;13(11):3888. doi: 10.3390/nu13113888. PMID: 34836143; PMCID: PMC8624134.</w:t>
            </w:r>
          </w:p>
          <w:p w14:paraId="58DF596C" w14:textId="77777777" w:rsidR="008F034B" w:rsidRPr="00036F26" w:rsidRDefault="008F034B" w:rsidP="00C41B7F">
            <w:pPr>
              <w:rPr>
                <w:rFonts w:asciiTheme="minorHAnsi" w:hAnsiTheme="minorHAnsi" w:cstheme="minorHAnsi"/>
                <w:sz w:val="20"/>
                <w:lang w:val="en-US"/>
              </w:rPr>
            </w:pPr>
            <w:r w:rsidRPr="00036F26">
              <w:rPr>
                <w:rFonts w:asciiTheme="minorHAnsi" w:hAnsiTheme="minorHAnsi" w:cstheme="minorHAnsi"/>
                <w:sz w:val="20"/>
                <w:lang w:val="en-US"/>
              </w:rPr>
              <w:t xml:space="preserve">HIH. Early-life sugar intake affects chronic disease risk. </w:t>
            </w:r>
          </w:p>
          <w:p w14:paraId="0B765DC7" w14:textId="77777777" w:rsidR="008F034B" w:rsidRPr="00036F26" w:rsidRDefault="008F034B" w:rsidP="00C41B7F">
            <w:pPr>
              <w:rPr>
                <w:rFonts w:asciiTheme="minorHAnsi" w:hAnsiTheme="minorHAnsi" w:cstheme="minorHAnsi"/>
                <w:sz w:val="20"/>
                <w:lang w:val="en-US"/>
              </w:rPr>
            </w:pPr>
            <w:r w:rsidRPr="00036F26">
              <w:rPr>
                <w:rFonts w:asciiTheme="minorHAnsi" w:hAnsiTheme="minorHAnsi" w:cstheme="minorHAnsi"/>
                <w:sz w:val="20"/>
                <w:lang w:val="en-US"/>
              </w:rPr>
              <w:t>https://www.nih.gov/news-events/nih-research-matters/early-life-sugar-intake-affects-chronic-disease-risk</w:t>
            </w:r>
          </w:p>
          <w:p w14:paraId="56F85117" w14:textId="77777777" w:rsidR="008F034B" w:rsidRPr="00036F26" w:rsidRDefault="008F034B" w:rsidP="00C41B7F">
            <w:pPr>
              <w:rPr>
                <w:rFonts w:asciiTheme="minorHAnsi" w:hAnsiTheme="minorHAnsi" w:cstheme="minorHAnsi"/>
                <w:sz w:val="20"/>
                <w:lang w:val="en-US"/>
              </w:rPr>
            </w:pPr>
            <w:r w:rsidRPr="00036F26">
              <w:rPr>
                <w:rFonts w:asciiTheme="minorHAnsi" w:hAnsiTheme="minorHAnsi" w:cstheme="minorHAnsi"/>
                <w:sz w:val="20"/>
                <w:lang w:val="en-US"/>
              </w:rPr>
              <w:t>AAP. Added sugar in kids’ diets: How much is too much? https://publications.aap.org/aapnews/news/7331/Added-sugar-in-kids-diets-How-much-is-too-much?autologincheck=redirected</w:t>
            </w:r>
          </w:p>
          <w:p w14:paraId="0F4BC93C"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Por otro lado, un estudio realizado en el 2024, por la organización suiza Public Eye e IBFAN, reveló como una misma compañía trasnacional de fórmulas infantiles, vende sus productos con diferentes estándares en países europeos, en donde la cantidad de azúcares añadidos a las fórmulas es menor que aquella que se añade a los mismos productos en países de menores ingresos, incluido México, esto por falta de regulaciones en dichos países. Incluso, en el 2020, PROFECO ya había advertido en su Revista del Consumidor, las altas cantidades de azucares en las fórmulas infantiles.</w:t>
            </w:r>
          </w:p>
          <w:p w14:paraId="6973A928"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 xml:space="preserve">https://www.publiceye.ch/fileadmin/doc/Konsum/PublicEye_Magazin_47_Nestle_SP_06_compressed.pdf </w:t>
            </w:r>
          </w:p>
          <w:p w14:paraId="152D63BD"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https://alianzasalud.org.mx/2020/07/cuida-a-tu-bebe-profeco-alerta-por-formulas-lacteas-con-exceso-de-azucar/</w:t>
            </w:r>
          </w:p>
          <w:p w14:paraId="0957F4F9" w14:textId="77777777" w:rsidR="008F034B" w:rsidRPr="005021A6" w:rsidRDefault="008F034B" w:rsidP="00C41B7F">
            <w:pPr>
              <w:rPr>
                <w:rFonts w:asciiTheme="minorHAnsi" w:hAnsiTheme="minorHAnsi" w:cstheme="minorHAnsi"/>
                <w:sz w:val="20"/>
              </w:rPr>
            </w:pPr>
            <w:r w:rsidRPr="005021A6">
              <w:rPr>
                <w:rFonts w:asciiTheme="minorHAnsi" w:hAnsiTheme="minorHAnsi" w:cstheme="minorHAnsi"/>
                <w:sz w:val="20"/>
              </w:rPr>
              <w:t>https://issuu.com/profeco/docs/revistadelconsumidor_junio_2020_520</w:t>
            </w:r>
          </w:p>
        </w:tc>
      </w:tr>
      <w:tr w:rsidR="008F034B" w:rsidRPr="00245571" w14:paraId="5C37B08C" w14:textId="77777777" w:rsidTr="00C41B7F">
        <w:trPr>
          <w:cantSplit/>
          <w:trHeight w:val="1305"/>
        </w:trPr>
        <w:tc>
          <w:tcPr>
            <w:tcW w:w="1276" w:type="dxa"/>
          </w:tcPr>
          <w:p w14:paraId="39EF0E46"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vAlign w:val="center"/>
          </w:tcPr>
          <w:p w14:paraId="23035F2F"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Numeral 4.5.3.4.7</w:t>
            </w:r>
          </w:p>
        </w:tc>
        <w:tc>
          <w:tcPr>
            <w:tcW w:w="1559" w:type="dxa"/>
          </w:tcPr>
          <w:p w14:paraId="53675A0D" w14:textId="77777777" w:rsidR="008F034B" w:rsidRPr="00036F26" w:rsidRDefault="008F034B" w:rsidP="00C41B7F">
            <w:pPr>
              <w:keepLines/>
              <w:spacing w:before="100" w:after="60" w:line="190" w:lineRule="exact"/>
              <w:jc w:val="center"/>
              <w:rPr>
                <w:rFonts w:asciiTheme="minorHAnsi" w:hAnsiTheme="minorHAnsi" w:cstheme="minorHAnsi"/>
                <w:sz w:val="20"/>
              </w:rPr>
            </w:pPr>
          </w:p>
          <w:p w14:paraId="3EF6859B" w14:textId="77777777" w:rsidR="008F034B" w:rsidRPr="00036F26" w:rsidRDefault="008F034B" w:rsidP="00C41B7F">
            <w:pPr>
              <w:keepLines/>
              <w:spacing w:before="100" w:after="60" w:line="190" w:lineRule="exact"/>
              <w:jc w:val="center"/>
              <w:rPr>
                <w:rFonts w:asciiTheme="minorHAnsi" w:hAnsiTheme="minorHAnsi" w:cstheme="minorHAnsi"/>
                <w:sz w:val="20"/>
              </w:rPr>
            </w:pPr>
          </w:p>
          <w:p w14:paraId="12705FD5" w14:textId="77777777" w:rsidR="008F034B" w:rsidRPr="00036F26" w:rsidRDefault="008F034B" w:rsidP="00C41B7F">
            <w:pPr>
              <w:keepLines/>
              <w:spacing w:before="100" w:after="60" w:line="190" w:lineRule="exact"/>
              <w:jc w:val="center"/>
              <w:rPr>
                <w:rFonts w:asciiTheme="minorHAnsi" w:hAnsiTheme="minorHAnsi" w:cstheme="minorHAnsi"/>
                <w:sz w:val="20"/>
              </w:rPr>
            </w:pPr>
          </w:p>
          <w:p w14:paraId="7C191DA8" w14:textId="77777777" w:rsidR="008F034B" w:rsidRPr="00036F26" w:rsidRDefault="008F034B" w:rsidP="00C41B7F">
            <w:pPr>
              <w:keepLines/>
              <w:spacing w:before="100" w:after="60" w:line="190" w:lineRule="exact"/>
              <w:jc w:val="center"/>
              <w:rPr>
                <w:rFonts w:asciiTheme="minorHAnsi" w:hAnsiTheme="minorHAnsi" w:cstheme="minorHAnsi"/>
                <w:sz w:val="20"/>
              </w:rPr>
            </w:pPr>
          </w:p>
          <w:p w14:paraId="6A93A778" w14:textId="77777777" w:rsidR="008F034B" w:rsidRDefault="008F034B" w:rsidP="00C41B7F">
            <w:pPr>
              <w:keepLines/>
              <w:spacing w:before="100" w:after="60" w:line="190" w:lineRule="exact"/>
              <w:jc w:val="center"/>
              <w:rPr>
                <w:rFonts w:asciiTheme="minorHAnsi" w:hAnsiTheme="minorHAnsi" w:cstheme="minorHAnsi"/>
                <w:sz w:val="20"/>
              </w:rPr>
            </w:pPr>
          </w:p>
          <w:p w14:paraId="3D8CA719" w14:textId="77777777" w:rsidR="008F034B" w:rsidRDefault="008F034B" w:rsidP="00C41B7F">
            <w:pPr>
              <w:keepLines/>
              <w:spacing w:before="100" w:after="60" w:line="190" w:lineRule="exact"/>
              <w:jc w:val="center"/>
              <w:rPr>
                <w:rFonts w:asciiTheme="minorHAnsi" w:hAnsiTheme="minorHAnsi" w:cstheme="minorHAnsi"/>
                <w:sz w:val="20"/>
              </w:rPr>
            </w:pPr>
          </w:p>
          <w:p w14:paraId="57F33143" w14:textId="77777777" w:rsidR="008F034B" w:rsidRDefault="008F034B" w:rsidP="00C41B7F">
            <w:pPr>
              <w:keepLines/>
              <w:spacing w:before="100" w:after="60" w:line="190" w:lineRule="exact"/>
              <w:jc w:val="center"/>
              <w:rPr>
                <w:rFonts w:asciiTheme="minorHAnsi" w:hAnsiTheme="minorHAnsi" w:cstheme="minorHAnsi"/>
                <w:sz w:val="20"/>
              </w:rPr>
            </w:pPr>
          </w:p>
          <w:p w14:paraId="27B5C69C" w14:textId="77777777" w:rsidR="008F034B" w:rsidRDefault="008F034B" w:rsidP="00C41B7F">
            <w:pPr>
              <w:keepLines/>
              <w:spacing w:before="100" w:after="60" w:line="190" w:lineRule="exact"/>
              <w:jc w:val="center"/>
              <w:rPr>
                <w:rFonts w:asciiTheme="minorHAnsi" w:hAnsiTheme="minorHAnsi" w:cstheme="minorHAnsi"/>
                <w:sz w:val="20"/>
              </w:rPr>
            </w:pPr>
          </w:p>
          <w:p w14:paraId="03911E66" w14:textId="77777777" w:rsidR="008F034B" w:rsidRDefault="008F034B" w:rsidP="00C41B7F">
            <w:pPr>
              <w:keepLines/>
              <w:spacing w:before="100" w:after="60" w:line="190" w:lineRule="exact"/>
              <w:jc w:val="center"/>
              <w:rPr>
                <w:rFonts w:asciiTheme="minorHAnsi" w:hAnsiTheme="minorHAnsi" w:cstheme="minorHAnsi"/>
                <w:sz w:val="20"/>
              </w:rPr>
            </w:pPr>
          </w:p>
          <w:p w14:paraId="7147ECB8" w14:textId="77777777" w:rsidR="008F034B" w:rsidRDefault="008F034B" w:rsidP="00C41B7F">
            <w:pPr>
              <w:keepLines/>
              <w:spacing w:before="100" w:after="60" w:line="190" w:lineRule="exact"/>
              <w:jc w:val="center"/>
              <w:rPr>
                <w:rFonts w:asciiTheme="minorHAnsi" w:hAnsiTheme="minorHAnsi" w:cstheme="minorHAnsi"/>
                <w:sz w:val="20"/>
              </w:rPr>
            </w:pPr>
          </w:p>
          <w:p w14:paraId="6F513B7D" w14:textId="77777777" w:rsidR="008F034B" w:rsidRDefault="008F034B" w:rsidP="00C41B7F">
            <w:pPr>
              <w:keepLines/>
              <w:spacing w:before="100" w:after="60" w:line="190" w:lineRule="exact"/>
              <w:jc w:val="center"/>
              <w:rPr>
                <w:rFonts w:asciiTheme="minorHAnsi" w:hAnsiTheme="minorHAnsi" w:cstheme="minorHAnsi"/>
                <w:sz w:val="20"/>
              </w:rPr>
            </w:pPr>
          </w:p>
          <w:p w14:paraId="1A6412F0" w14:textId="77777777" w:rsidR="008F034B" w:rsidRDefault="008F034B" w:rsidP="00C41B7F">
            <w:pPr>
              <w:keepLines/>
              <w:spacing w:before="100" w:after="60" w:line="190" w:lineRule="exact"/>
              <w:jc w:val="center"/>
              <w:rPr>
                <w:rFonts w:asciiTheme="minorHAnsi" w:hAnsiTheme="minorHAnsi" w:cstheme="minorHAnsi"/>
                <w:sz w:val="20"/>
              </w:rPr>
            </w:pPr>
          </w:p>
          <w:p w14:paraId="0C3743A7" w14:textId="77777777" w:rsidR="008F034B" w:rsidRDefault="008F034B" w:rsidP="00C41B7F">
            <w:pPr>
              <w:keepLines/>
              <w:spacing w:before="100" w:after="60" w:line="190" w:lineRule="exact"/>
              <w:jc w:val="center"/>
              <w:rPr>
                <w:rFonts w:asciiTheme="minorHAnsi" w:hAnsiTheme="minorHAnsi" w:cstheme="minorHAnsi"/>
                <w:sz w:val="20"/>
              </w:rPr>
            </w:pPr>
          </w:p>
          <w:p w14:paraId="3F2B1591" w14:textId="77777777" w:rsidR="008F034B" w:rsidRDefault="008F034B" w:rsidP="00C41B7F">
            <w:pPr>
              <w:keepLines/>
              <w:spacing w:before="100" w:after="60" w:line="190" w:lineRule="exact"/>
              <w:jc w:val="center"/>
              <w:rPr>
                <w:rFonts w:asciiTheme="minorHAnsi" w:hAnsiTheme="minorHAnsi" w:cstheme="minorHAnsi"/>
                <w:sz w:val="20"/>
              </w:rPr>
            </w:pPr>
          </w:p>
          <w:p w14:paraId="72E7227B"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Técnico</w:t>
            </w:r>
          </w:p>
        </w:tc>
        <w:tc>
          <w:tcPr>
            <w:tcW w:w="3260" w:type="dxa"/>
          </w:tcPr>
          <w:p w14:paraId="2822BB7A" w14:textId="77777777" w:rsidR="008F034B" w:rsidRPr="00036F26" w:rsidRDefault="008F034B" w:rsidP="00C41B7F">
            <w:pPr>
              <w:pStyle w:val="Default"/>
              <w:jc w:val="both"/>
              <w:rPr>
                <w:rFonts w:asciiTheme="minorHAnsi" w:hAnsiTheme="minorHAnsi" w:cstheme="minorHAnsi"/>
                <w:sz w:val="20"/>
                <w:szCs w:val="20"/>
              </w:rPr>
            </w:pPr>
            <w:r w:rsidRPr="00036F26">
              <w:rPr>
                <w:rFonts w:asciiTheme="minorHAnsi" w:hAnsiTheme="minorHAnsi" w:cstheme="minorHAnsi"/>
                <w:sz w:val="20"/>
                <w:szCs w:val="20"/>
              </w:rPr>
              <w:t xml:space="preserve">4.5.3.4.7 Cuando proceda incluir las leyendas “CONTIENE CAFEÍNA EVITAR EN NIÑOS” o “CONTIENE </w:t>
            </w:r>
          </w:p>
          <w:p w14:paraId="577EF549"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 xml:space="preserve">EDULCORANTES - NO RECOMENDABLE EN NIÑOS”, deben ir en la parte superior derecha de la superficie principal de exhibición y en caso de que el producto preenvasado tenga sellos, deben ir debajo de los mismos, conforme se establece en el Apéndice A (Normativo). </w:t>
            </w:r>
          </w:p>
        </w:tc>
        <w:tc>
          <w:tcPr>
            <w:tcW w:w="3402" w:type="dxa"/>
          </w:tcPr>
          <w:p w14:paraId="3C94D3AD" w14:textId="77777777" w:rsidR="008F034B" w:rsidRPr="005021A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b/>
                <w:sz w:val="20"/>
              </w:rPr>
              <w:t xml:space="preserve">4.5.3.4.7 </w:t>
            </w:r>
            <w:r w:rsidRPr="005021A6">
              <w:rPr>
                <w:rFonts w:asciiTheme="minorHAnsi" w:hAnsiTheme="minorHAnsi" w:cstheme="minorHAnsi"/>
                <w:sz w:val="20"/>
              </w:rPr>
              <w:t>Cuando proceda incluir las leyendas “CONTIENE CAFEÍNA EVITAR EN NIÑOS” o “CONTIENE</w:t>
            </w:r>
          </w:p>
          <w:p w14:paraId="34896BBD" w14:textId="77777777" w:rsidR="008F034B"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 xml:space="preserve">EDULCORANTES - NO RECOMENDABLE EN NIÑOS” </w:t>
            </w:r>
            <w:r w:rsidRPr="005021A6">
              <w:rPr>
                <w:rFonts w:asciiTheme="minorHAnsi" w:hAnsiTheme="minorHAnsi" w:cstheme="minorHAnsi"/>
                <w:b/>
                <w:sz w:val="20"/>
              </w:rPr>
              <w:t>o</w:t>
            </w:r>
            <w:r w:rsidRPr="005021A6">
              <w:rPr>
                <w:rFonts w:asciiTheme="minorHAnsi" w:hAnsiTheme="minorHAnsi" w:cstheme="minorHAnsi"/>
                <w:b/>
                <w:i/>
                <w:sz w:val="20"/>
              </w:rPr>
              <w:t xml:space="preserve"> </w:t>
            </w:r>
            <w:r w:rsidRPr="005021A6">
              <w:rPr>
                <w:rFonts w:asciiTheme="minorHAnsi" w:hAnsiTheme="minorHAnsi" w:cstheme="minorHAnsi"/>
                <w:b/>
                <w:sz w:val="20"/>
              </w:rPr>
              <w:t>“CONTIENE COLORANTES ARTIFICIALES NO RECOMENDABLE EN NIÑOS” ó, “CONTIENE COLORANTES ARTIFICIALES, EVITAR EN NIÑOS”</w:t>
            </w:r>
            <w:r w:rsidRPr="005021A6">
              <w:rPr>
                <w:rFonts w:asciiTheme="minorHAnsi" w:hAnsiTheme="minorHAnsi" w:cstheme="minorHAnsi"/>
                <w:i/>
                <w:sz w:val="20"/>
              </w:rPr>
              <w:t xml:space="preserve">, </w:t>
            </w:r>
            <w:r w:rsidRPr="005021A6">
              <w:rPr>
                <w:rFonts w:asciiTheme="minorHAnsi" w:hAnsiTheme="minorHAnsi" w:cstheme="minorHAnsi"/>
                <w:sz w:val="20"/>
              </w:rPr>
              <w:t xml:space="preserve"> deben ir en la parte superior derecha de la superficie principal de exhibición y en caso de que el producto preenvasado tenga sellos, deben ir debajo de los mismos, conforme se establece en el Apéndice A (Normativo).</w:t>
            </w:r>
          </w:p>
          <w:p w14:paraId="16F70DFA" w14:textId="77777777" w:rsidR="008F034B" w:rsidRPr="005021A6" w:rsidRDefault="008F034B" w:rsidP="00C41B7F">
            <w:pPr>
              <w:keepLines/>
              <w:spacing w:before="100" w:after="60" w:line="190" w:lineRule="exact"/>
              <w:rPr>
                <w:rFonts w:asciiTheme="minorHAnsi" w:hAnsiTheme="minorHAnsi" w:cstheme="minorHAnsi"/>
                <w:sz w:val="20"/>
              </w:rPr>
            </w:pPr>
          </w:p>
          <w:p w14:paraId="1EDFDAE8" w14:textId="77777777" w:rsidR="008F034B" w:rsidRDefault="008F034B" w:rsidP="00C41B7F">
            <w:pPr>
              <w:keepLines/>
              <w:spacing w:before="100" w:after="60" w:line="190" w:lineRule="exact"/>
              <w:rPr>
                <w:rFonts w:asciiTheme="minorHAnsi" w:hAnsiTheme="minorHAnsi" w:cstheme="minorHAnsi"/>
                <w:sz w:val="20"/>
              </w:rPr>
            </w:pPr>
          </w:p>
          <w:p w14:paraId="0CDDBAC5" w14:textId="77777777" w:rsidR="008F034B" w:rsidRDefault="008F034B" w:rsidP="00C41B7F">
            <w:pPr>
              <w:keepLines/>
              <w:spacing w:before="100" w:after="60" w:line="190" w:lineRule="exact"/>
              <w:rPr>
                <w:rFonts w:asciiTheme="minorHAnsi" w:hAnsiTheme="minorHAnsi" w:cstheme="minorHAnsi"/>
                <w:sz w:val="20"/>
              </w:rPr>
            </w:pPr>
            <w:r>
              <w:rPr>
                <w:rFonts w:eastAsia="Arial" w:cs="Arial"/>
                <w:noProof/>
                <w:sz w:val="20"/>
                <w:lang w:eastAsia="es-MX"/>
              </w:rPr>
              <w:drawing>
                <wp:anchor distT="0" distB="0" distL="114300" distR="114300" simplePos="0" relativeHeight="251660288" behindDoc="1" locked="0" layoutInCell="1" allowOverlap="1" wp14:anchorId="1CCF3EBF" wp14:editId="55A6DA83">
                  <wp:simplePos x="0" y="0"/>
                  <wp:positionH relativeFrom="column">
                    <wp:posOffset>-58420</wp:posOffset>
                  </wp:positionH>
                  <wp:positionV relativeFrom="paragraph">
                    <wp:posOffset>1028700</wp:posOffset>
                  </wp:positionV>
                  <wp:extent cx="1852295" cy="632460"/>
                  <wp:effectExtent l="0" t="0" r="0" b="0"/>
                  <wp:wrapTight wrapText="bothSides">
                    <wp:wrapPolygon edited="0">
                      <wp:start x="0" y="0"/>
                      <wp:lineTo x="0" y="20819"/>
                      <wp:lineTo x="21326" y="20819"/>
                      <wp:lineTo x="21326" y="0"/>
                      <wp:lineTo x="0" y="0"/>
                    </wp:wrapPolygon>
                  </wp:wrapTight>
                  <wp:docPr id="46450176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rotWithShape="1">
                          <a:blip r:embed="rId9" cstate="print">
                            <a:extLst>
                              <a:ext uri="{28A0092B-C50C-407E-A947-70E740481C1C}">
                                <a14:useLocalDpi xmlns:a14="http://schemas.microsoft.com/office/drawing/2010/main" val="0"/>
                              </a:ext>
                            </a:extLst>
                          </a:blip>
                          <a:srcRect t="17553" b="46276"/>
                          <a:stretch/>
                        </pic:blipFill>
                        <pic:spPr bwMode="auto">
                          <a:xfrm>
                            <a:off x="0" y="0"/>
                            <a:ext cx="1852295"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Arial" w:cs="Arial"/>
                <w:noProof/>
                <w:sz w:val="20"/>
                <w:lang w:eastAsia="es-MX"/>
              </w:rPr>
              <w:drawing>
                <wp:anchor distT="0" distB="0" distL="114300" distR="114300" simplePos="0" relativeHeight="251659264" behindDoc="0" locked="0" layoutInCell="1" allowOverlap="1" wp14:anchorId="7D19A51C" wp14:editId="5BE014FD">
                  <wp:simplePos x="0" y="0"/>
                  <wp:positionH relativeFrom="column">
                    <wp:posOffset>-58420</wp:posOffset>
                  </wp:positionH>
                  <wp:positionV relativeFrom="paragraph">
                    <wp:posOffset>201930</wp:posOffset>
                  </wp:positionV>
                  <wp:extent cx="1852295" cy="650240"/>
                  <wp:effectExtent l="0" t="0" r="0" b="0"/>
                  <wp:wrapThrough wrapText="bothSides">
                    <wp:wrapPolygon edited="0">
                      <wp:start x="0" y="0"/>
                      <wp:lineTo x="0" y="20883"/>
                      <wp:lineTo x="21326" y="20883"/>
                      <wp:lineTo x="21326" y="0"/>
                      <wp:lineTo x="0" y="0"/>
                    </wp:wrapPolygon>
                  </wp:wrapThrough>
                  <wp:docPr id="46450175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rotWithShape="1">
                          <a:blip r:embed="rId10" cstate="print">
                            <a:extLst>
                              <a:ext uri="{28A0092B-C50C-407E-A947-70E740481C1C}">
                                <a14:useLocalDpi xmlns:a14="http://schemas.microsoft.com/office/drawing/2010/main" val="0"/>
                              </a:ext>
                            </a:extLst>
                          </a:blip>
                          <a:srcRect t="16489" b="47607"/>
                          <a:stretch/>
                        </pic:blipFill>
                        <pic:spPr bwMode="auto">
                          <a:xfrm>
                            <a:off x="0" y="0"/>
                            <a:ext cx="1852295" cy="650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52CBCB" w14:textId="77777777" w:rsidR="008F034B" w:rsidRPr="00036F26" w:rsidRDefault="008F034B" w:rsidP="00C41B7F">
            <w:pPr>
              <w:keepLines/>
              <w:spacing w:before="100" w:after="60" w:line="190" w:lineRule="exact"/>
              <w:rPr>
                <w:rFonts w:asciiTheme="minorHAnsi" w:hAnsiTheme="minorHAnsi" w:cstheme="minorHAnsi"/>
                <w:sz w:val="20"/>
              </w:rPr>
            </w:pPr>
          </w:p>
        </w:tc>
        <w:tc>
          <w:tcPr>
            <w:tcW w:w="3261" w:type="dxa"/>
          </w:tcPr>
          <w:p w14:paraId="5060F560" w14:textId="77777777" w:rsidR="008F034B" w:rsidRPr="00036F26" w:rsidRDefault="008F034B" w:rsidP="00C41B7F">
            <w:pPr>
              <w:rPr>
                <w:rFonts w:asciiTheme="minorHAnsi" w:hAnsiTheme="minorHAnsi" w:cstheme="minorHAnsi"/>
                <w:sz w:val="20"/>
              </w:rPr>
            </w:pPr>
            <w:r>
              <w:rPr>
                <w:rFonts w:asciiTheme="minorHAnsi" w:hAnsiTheme="minorHAnsi" w:cstheme="minorHAnsi"/>
                <w:sz w:val="20"/>
              </w:rPr>
              <w:t xml:space="preserve">La propuesta se deriva </w:t>
            </w:r>
            <w:r w:rsidRPr="00036F26">
              <w:rPr>
                <w:rFonts w:asciiTheme="minorHAnsi" w:hAnsiTheme="minorHAnsi" w:cstheme="minorHAnsi"/>
                <w:sz w:val="20"/>
              </w:rPr>
              <w:t>de la evidencia científica disponible sobre el uso de estos aditivos cosméticos, y las mejores prácticas regulatorias sobre su declaración explícita a los consumidores. A nivel internacional, la Unión Europea (UE) ha implementado regulaciones estrictas sobre el uso de colorantes en alimentos, exigiendo advertencias sanitarias en productos que contienen ciertos colorantes sintéticos. En contraste, en México, el marco regulatorio es menos restrictivo, lo que permite un mayor uso y exposición de la población a estos aditivos cosméticos, utilizados con mayor frecuencia en productos promocionados a niños, niñas y adolescentes (NNA).</w:t>
            </w:r>
            <w:r w:rsidRPr="00036F26">
              <w:rPr>
                <w:rStyle w:val="Refdenotaalpie"/>
                <w:rFonts w:asciiTheme="minorHAnsi" w:hAnsiTheme="minorHAnsi" w:cstheme="minorHAnsi"/>
                <w:sz w:val="20"/>
              </w:rPr>
              <w:footnoteReference w:id="4"/>
            </w:r>
          </w:p>
          <w:p w14:paraId="32B23A6B" w14:textId="77777777" w:rsidR="008F034B" w:rsidRPr="00036F26" w:rsidRDefault="008F034B" w:rsidP="00C41B7F">
            <w:pPr>
              <w:rPr>
                <w:rFonts w:asciiTheme="minorHAnsi" w:hAnsiTheme="minorHAnsi" w:cstheme="minorHAnsi"/>
                <w:sz w:val="20"/>
              </w:rPr>
            </w:pPr>
          </w:p>
          <w:p w14:paraId="7A77ECD7"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De manera específica, la UE requiere que los productos que contienen ciertos colorantes sintéticos deben incluir la advertencia: “</w:t>
            </w:r>
            <w:r w:rsidRPr="00036F26">
              <w:rPr>
                <w:rFonts w:asciiTheme="minorHAnsi" w:hAnsiTheme="minorHAnsi" w:cstheme="minorHAnsi"/>
                <w:i/>
                <w:sz w:val="20"/>
              </w:rPr>
              <w:t>Puede tener efectos negativos sobre la actividad y la atención de los niños</w:t>
            </w:r>
            <w:r w:rsidRPr="00036F26">
              <w:rPr>
                <w:rFonts w:asciiTheme="minorHAnsi" w:hAnsiTheme="minorHAnsi" w:cstheme="minorHAnsi"/>
                <w:sz w:val="20"/>
              </w:rPr>
              <w:t xml:space="preserve">”, mientras que nuestro país no cuenta con dichas advertencias específicas. </w:t>
            </w:r>
          </w:p>
          <w:p w14:paraId="65C5E95E" w14:textId="77777777" w:rsidR="008F034B" w:rsidRPr="00036F26" w:rsidRDefault="008F034B" w:rsidP="00C41B7F">
            <w:pPr>
              <w:rPr>
                <w:rFonts w:asciiTheme="minorHAnsi" w:hAnsiTheme="minorHAnsi" w:cstheme="minorHAnsi"/>
                <w:sz w:val="20"/>
              </w:rPr>
            </w:pPr>
          </w:p>
          <w:p w14:paraId="74969F53"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Investigaciones han señalado que estos colorantes pueden estar asociados con hiperactividad y agravar trastorno por déficit de atención e hiperactividad (TDAH) en la niñez. Se ha encontrado que el consumo de colorantes azoicos (artificiales) puede incrementar la hiperactividad en menores, siendo esta una de las razones que llevó a la UE a exigir advertencias en productos que los contienen.</w:t>
            </w:r>
          </w:p>
          <w:p w14:paraId="516B2DBC"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Además, se ha documentado que pueden causar reacciones alérgicas e intolerancias, particularmente en personas sensibles a la aspirina o con condiciones como asma. También se han relacionado con urticaria y angioedema en ciertos individuos. Otros estudios en animales han sugerido que el Amarillo 6 podría causar daño en el ADN en dosis elevadas, lo que ha despertado preocupaciones sobre su posible papel en el desarrollo de algunos tipos de cáncer.</w:t>
            </w:r>
          </w:p>
          <w:p w14:paraId="17C6656F" w14:textId="77777777" w:rsidR="008F034B" w:rsidRPr="00036F26" w:rsidRDefault="008F034B" w:rsidP="00C41B7F">
            <w:pPr>
              <w:rPr>
                <w:rFonts w:asciiTheme="minorHAnsi" w:hAnsiTheme="minorHAnsi" w:cstheme="minorHAnsi"/>
                <w:sz w:val="20"/>
              </w:rPr>
            </w:pPr>
          </w:p>
          <w:p w14:paraId="312E0886"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En México, hay una mayor utilización de colorantes sintéticos en productos ultraprocesados en comparación con Reino Unido y Suiza, lo que expone a la población, especialmente a NNA, a posibles riesgos para la salud y deja ver un doble estándar en la industria alimentaria, ya que las mismas marcas que se venden en México con colorantes artificiales y derivados de petróleo, se venden en Europa con alternativas naturales de color. En la Unión Europea</w:t>
            </w:r>
            <w:r w:rsidRPr="00036F26">
              <w:rPr>
                <w:rFonts w:asciiTheme="minorHAnsi" w:hAnsiTheme="minorHAnsi" w:cstheme="minorHAnsi"/>
                <w:b/>
                <w:sz w:val="20"/>
              </w:rPr>
              <w:t>, la implementación de regulaciones ha reducido el uso de colorantes artificiales</w:t>
            </w:r>
            <w:r w:rsidRPr="00036F26">
              <w:rPr>
                <w:rFonts w:asciiTheme="minorHAnsi" w:hAnsiTheme="minorHAnsi" w:cstheme="minorHAnsi"/>
                <w:sz w:val="20"/>
              </w:rPr>
              <w:t xml:space="preserve">, promoviendo alternativas naturales y protegiendo la salud de NNA. </w:t>
            </w:r>
          </w:p>
          <w:p w14:paraId="4E09D52B" w14:textId="77777777" w:rsidR="008F034B" w:rsidRPr="00036F26" w:rsidRDefault="008F034B" w:rsidP="00C41B7F">
            <w:pPr>
              <w:rPr>
                <w:rFonts w:asciiTheme="minorHAnsi" w:hAnsiTheme="minorHAnsi" w:cstheme="minorHAnsi"/>
                <w:sz w:val="20"/>
              </w:rPr>
            </w:pPr>
          </w:p>
          <w:p w14:paraId="6A43C050"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Asimismo, la Administración de Alimentos y Medicamentos o FDA por sus siglas en inglés, ha emitido restricciones dirigidas a colorantes artificiales con el fin de que la industria alimentaria haga la transición de colorantes derivados del petróleo a alternativas naturales. Un ejemplo es la eritosina (Rojo n° 3).</w:t>
            </w:r>
            <w:r w:rsidRPr="00036F26">
              <w:rPr>
                <w:rStyle w:val="Refdenotaalpie"/>
                <w:rFonts w:asciiTheme="minorHAnsi" w:hAnsiTheme="minorHAnsi" w:cstheme="minorHAnsi"/>
                <w:sz w:val="20"/>
              </w:rPr>
              <w:footnoteReference w:id="5"/>
            </w:r>
            <w:r w:rsidRPr="00036F26">
              <w:rPr>
                <w:rFonts w:asciiTheme="minorHAnsi" w:hAnsiTheme="minorHAnsi" w:cstheme="minorHAnsi"/>
                <w:sz w:val="20"/>
              </w:rPr>
              <w:t xml:space="preserve"> A inicios de 2025, Estados Unidos anunció su restricción en el uso en productos alimentarios, suplementos y fármacos</w:t>
            </w:r>
            <w:r w:rsidRPr="00036F26">
              <w:rPr>
                <w:rStyle w:val="Refdenotaalpie"/>
                <w:rFonts w:asciiTheme="minorHAnsi" w:hAnsiTheme="minorHAnsi" w:cstheme="minorHAnsi"/>
                <w:sz w:val="20"/>
              </w:rPr>
              <w:footnoteReference w:id="6"/>
            </w:r>
            <w:r w:rsidRPr="00036F26">
              <w:rPr>
                <w:rFonts w:asciiTheme="minorHAnsi" w:hAnsiTheme="minorHAnsi" w:cstheme="minorHAnsi"/>
                <w:sz w:val="20"/>
              </w:rPr>
              <w:t xml:space="preserve"> por sus efectos adversos observados en estudios con modelos animales. México debe ampliar sus estándares de protección a consumidores y aplicar el Principio de Precaución, especialmente ante NNA. </w:t>
            </w:r>
          </w:p>
          <w:p w14:paraId="4435BA45" w14:textId="77777777" w:rsidR="008F034B" w:rsidRPr="00036F26" w:rsidRDefault="008F034B" w:rsidP="00C41B7F">
            <w:pPr>
              <w:keepLines/>
              <w:spacing w:before="100" w:after="60" w:line="190" w:lineRule="exact"/>
              <w:rPr>
                <w:rFonts w:asciiTheme="minorHAnsi" w:hAnsiTheme="minorHAnsi" w:cstheme="minorHAnsi"/>
                <w:b/>
                <w:sz w:val="20"/>
              </w:rPr>
            </w:pPr>
          </w:p>
        </w:tc>
      </w:tr>
      <w:tr w:rsidR="008F034B" w:rsidRPr="00245571" w14:paraId="0B5DC94E" w14:textId="77777777" w:rsidTr="00C41B7F">
        <w:trPr>
          <w:cantSplit/>
          <w:trHeight w:val="1305"/>
        </w:trPr>
        <w:tc>
          <w:tcPr>
            <w:tcW w:w="1276" w:type="dxa"/>
          </w:tcPr>
          <w:p w14:paraId="5F7CCFA3"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vAlign w:val="center"/>
          </w:tcPr>
          <w:p w14:paraId="523685D1" w14:textId="77777777" w:rsidR="008F034B" w:rsidRPr="00036F26" w:rsidRDefault="008F034B" w:rsidP="00C41B7F">
            <w:pPr>
              <w:keepLines/>
              <w:spacing w:before="100" w:after="60" w:line="190" w:lineRule="exact"/>
              <w:rPr>
                <w:rFonts w:asciiTheme="minorHAnsi" w:hAnsiTheme="minorHAnsi" w:cstheme="minorHAnsi"/>
                <w:sz w:val="20"/>
              </w:rPr>
            </w:pPr>
            <w:r w:rsidRPr="005021A6">
              <w:rPr>
                <w:rFonts w:asciiTheme="minorHAnsi" w:hAnsiTheme="minorHAnsi" w:cstheme="minorHAnsi"/>
                <w:sz w:val="20"/>
              </w:rPr>
              <w:t>4.5.3.4 Sistema de etiquetado frontal</w:t>
            </w:r>
          </w:p>
        </w:tc>
        <w:tc>
          <w:tcPr>
            <w:tcW w:w="1559" w:type="dxa"/>
          </w:tcPr>
          <w:p w14:paraId="10B88875" w14:textId="77777777" w:rsidR="008F034B" w:rsidRDefault="008F034B" w:rsidP="00C41B7F">
            <w:pPr>
              <w:keepLines/>
              <w:spacing w:before="100" w:after="60" w:line="190" w:lineRule="exact"/>
              <w:jc w:val="center"/>
              <w:rPr>
                <w:rFonts w:asciiTheme="minorHAnsi" w:hAnsiTheme="minorHAnsi" w:cstheme="minorHAnsi"/>
                <w:sz w:val="20"/>
              </w:rPr>
            </w:pPr>
          </w:p>
          <w:p w14:paraId="1257A8B4"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5021A6">
              <w:rPr>
                <w:rFonts w:asciiTheme="minorHAnsi" w:hAnsiTheme="minorHAnsi" w:cstheme="minorHAnsi"/>
                <w:sz w:val="20"/>
              </w:rPr>
              <w:t>Técnico</w:t>
            </w:r>
          </w:p>
        </w:tc>
        <w:tc>
          <w:tcPr>
            <w:tcW w:w="3260" w:type="dxa"/>
          </w:tcPr>
          <w:p w14:paraId="47EFBDB5" w14:textId="77777777" w:rsidR="008F034B" w:rsidRDefault="008F034B" w:rsidP="00C41B7F">
            <w:pPr>
              <w:pStyle w:val="Default"/>
              <w:jc w:val="both"/>
              <w:rPr>
                <w:rFonts w:asciiTheme="minorHAnsi" w:hAnsiTheme="minorHAnsi" w:cstheme="minorHAnsi"/>
                <w:sz w:val="20"/>
                <w:szCs w:val="20"/>
              </w:rPr>
            </w:pPr>
          </w:p>
          <w:p w14:paraId="534DAB0F"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 xml:space="preserve">Texto actual: </w:t>
            </w:r>
          </w:p>
          <w:p w14:paraId="65A84446" w14:textId="77777777" w:rsidR="008F034B" w:rsidRPr="005021A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4.5.3.4 Sistema de etiquetado frontal</w:t>
            </w:r>
          </w:p>
          <w:p w14:paraId="03502BDE" w14:textId="77777777" w:rsidR="008F034B" w:rsidRPr="005021A6" w:rsidRDefault="008F034B" w:rsidP="00C41B7F">
            <w:pPr>
              <w:pStyle w:val="Default"/>
              <w:jc w:val="both"/>
              <w:rPr>
                <w:rFonts w:asciiTheme="minorHAnsi" w:hAnsiTheme="minorHAnsi" w:cstheme="minorHAnsi"/>
                <w:sz w:val="20"/>
                <w:szCs w:val="20"/>
              </w:rPr>
            </w:pPr>
          </w:p>
          <w:p w14:paraId="35AF8F7C" w14:textId="77777777" w:rsidR="008F034B" w:rsidRPr="00036F26" w:rsidRDefault="008F034B" w:rsidP="00C41B7F">
            <w:pPr>
              <w:pStyle w:val="Default"/>
              <w:jc w:val="both"/>
              <w:rPr>
                <w:rFonts w:asciiTheme="minorHAnsi" w:hAnsiTheme="minorHAnsi" w:cstheme="minorHAnsi"/>
                <w:sz w:val="20"/>
                <w:szCs w:val="20"/>
              </w:rPr>
            </w:pPr>
            <w:r w:rsidRPr="005021A6">
              <w:rPr>
                <w:rFonts w:asciiTheme="minorHAnsi" w:hAnsiTheme="minorHAnsi" w:cstheme="minorHAnsi"/>
                <w:sz w:val="20"/>
                <w:szCs w:val="20"/>
              </w:rPr>
              <w:t>El sistema de etiquetado frontal incluye la información nutrimental complementaria y las leyendas en sus numerales 7.1.3 y 7.1.4.</w:t>
            </w:r>
          </w:p>
        </w:tc>
        <w:tc>
          <w:tcPr>
            <w:tcW w:w="3402" w:type="dxa"/>
          </w:tcPr>
          <w:p w14:paraId="2B20457E" w14:textId="77777777" w:rsidR="008F034B" w:rsidRPr="00BD7B24" w:rsidRDefault="008F034B" w:rsidP="00C41B7F">
            <w:pPr>
              <w:keepLines/>
              <w:spacing w:before="100" w:after="60" w:line="190" w:lineRule="exact"/>
              <w:rPr>
                <w:rFonts w:asciiTheme="minorHAnsi" w:hAnsiTheme="minorHAnsi" w:cstheme="minorHAnsi"/>
                <w:sz w:val="20"/>
              </w:rPr>
            </w:pPr>
          </w:p>
          <w:p w14:paraId="1016BB28" w14:textId="77777777" w:rsidR="008F034B" w:rsidRPr="00BD7B24" w:rsidRDefault="008F034B" w:rsidP="00C41B7F">
            <w:pPr>
              <w:pBdr>
                <w:top w:val="nil"/>
                <w:left w:val="nil"/>
                <w:bottom w:val="nil"/>
                <w:right w:val="nil"/>
                <w:between w:val="nil"/>
              </w:pBdr>
              <w:rPr>
                <w:rFonts w:asciiTheme="minorHAnsi" w:eastAsia="Arial" w:hAnsiTheme="minorHAnsi" w:cstheme="minorHAnsi"/>
                <w:color w:val="000000"/>
                <w:sz w:val="20"/>
              </w:rPr>
            </w:pPr>
            <w:r w:rsidRPr="00BD7B24">
              <w:rPr>
                <w:rFonts w:asciiTheme="minorHAnsi" w:eastAsia="Arial" w:hAnsiTheme="minorHAnsi" w:cstheme="minorHAnsi"/>
                <w:color w:val="000000"/>
                <w:sz w:val="20"/>
              </w:rPr>
              <w:t>4.5.3.4 Sistema de etiquetado frontal</w:t>
            </w:r>
          </w:p>
          <w:p w14:paraId="5316B2D7" w14:textId="77777777" w:rsidR="008F034B" w:rsidRPr="00BD7B24" w:rsidRDefault="008F034B" w:rsidP="00C41B7F">
            <w:pPr>
              <w:pBdr>
                <w:top w:val="nil"/>
                <w:left w:val="nil"/>
                <w:bottom w:val="nil"/>
                <w:right w:val="nil"/>
                <w:between w:val="nil"/>
              </w:pBdr>
              <w:rPr>
                <w:rFonts w:asciiTheme="minorHAnsi" w:eastAsia="Arial" w:hAnsiTheme="minorHAnsi" w:cstheme="minorHAnsi"/>
                <w:color w:val="000000"/>
                <w:sz w:val="20"/>
              </w:rPr>
            </w:pPr>
            <w:r w:rsidRPr="00BD7B24">
              <w:rPr>
                <w:rFonts w:asciiTheme="minorHAnsi" w:eastAsia="Arial" w:hAnsiTheme="minorHAnsi" w:cstheme="minorHAnsi"/>
                <w:color w:val="000000"/>
                <w:sz w:val="20"/>
              </w:rPr>
              <w:t xml:space="preserve">El sistema de etiquetado frontal incluye la información nutrimental complementaria y las leyendas </w:t>
            </w:r>
          </w:p>
          <w:p w14:paraId="28D7BC9F" w14:textId="77777777" w:rsidR="008F034B" w:rsidRPr="00BD7B24" w:rsidRDefault="008F034B" w:rsidP="00C41B7F">
            <w:pPr>
              <w:keepLines/>
              <w:spacing w:before="100" w:after="60" w:line="190" w:lineRule="exact"/>
              <w:rPr>
                <w:rFonts w:asciiTheme="minorHAnsi" w:hAnsiTheme="minorHAnsi" w:cstheme="minorHAnsi"/>
                <w:sz w:val="20"/>
              </w:rPr>
            </w:pPr>
            <w:r w:rsidRPr="00BD7B24">
              <w:rPr>
                <w:rFonts w:asciiTheme="minorHAnsi" w:eastAsia="Arial" w:hAnsiTheme="minorHAnsi" w:cstheme="minorHAnsi"/>
                <w:color w:val="000000"/>
                <w:sz w:val="20"/>
              </w:rPr>
              <w:t xml:space="preserve">precautorias descritas en los numerales 7.1.3, 7.1.4 y </w:t>
            </w:r>
            <w:r w:rsidRPr="00BD7B24">
              <w:rPr>
                <w:rFonts w:asciiTheme="minorHAnsi" w:eastAsia="Arial" w:hAnsiTheme="minorHAnsi" w:cstheme="minorHAnsi"/>
                <w:b/>
                <w:color w:val="000000"/>
                <w:sz w:val="20"/>
              </w:rPr>
              <w:t>7.1.5.</w:t>
            </w:r>
          </w:p>
        </w:tc>
        <w:tc>
          <w:tcPr>
            <w:tcW w:w="3261" w:type="dxa"/>
          </w:tcPr>
          <w:p w14:paraId="776BE36B" w14:textId="77777777" w:rsidR="008F034B" w:rsidRDefault="008F034B" w:rsidP="00C41B7F">
            <w:pPr>
              <w:rPr>
                <w:rFonts w:asciiTheme="minorHAnsi" w:hAnsiTheme="minorHAnsi" w:cstheme="minorHAnsi"/>
                <w:sz w:val="20"/>
              </w:rPr>
            </w:pPr>
          </w:p>
          <w:p w14:paraId="010080E7" w14:textId="77777777" w:rsidR="008F034B" w:rsidRPr="00036F26" w:rsidDel="00711B75" w:rsidRDefault="008F034B" w:rsidP="00C41B7F">
            <w:pPr>
              <w:rPr>
                <w:rFonts w:asciiTheme="minorHAnsi" w:hAnsiTheme="minorHAnsi" w:cstheme="minorHAnsi"/>
                <w:sz w:val="20"/>
              </w:rPr>
            </w:pPr>
            <w:r w:rsidRPr="005021A6">
              <w:rPr>
                <w:rFonts w:asciiTheme="minorHAnsi" w:hAnsiTheme="minorHAnsi" w:cstheme="minorHAnsi"/>
                <w:sz w:val="20"/>
              </w:rPr>
              <w:t>Se solicita la inclusión de una nueva leyenda de advertencia sobre colorantes artificiales, derivado de la evidencia científica disponible y el marco regulatorio internacional que se describe más adelante, a través de un numeral  7.1.5 para alertar sobre la presencia de dichos aditivos.</w:t>
            </w:r>
          </w:p>
        </w:tc>
      </w:tr>
      <w:tr w:rsidR="008F034B" w:rsidRPr="00245571" w14:paraId="4EEF5D75" w14:textId="77777777" w:rsidTr="00C41B7F">
        <w:trPr>
          <w:cantSplit/>
          <w:trHeight w:val="1305"/>
        </w:trPr>
        <w:tc>
          <w:tcPr>
            <w:tcW w:w="1276" w:type="dxa"/>
          </w:tcPr>
          <w:p w14:paraId="28006F55"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tcPr>
          <w:p w14:paraId="33BBE57C"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 xml:space="preserve">Numeral </w:t>
            </w:r>
          </w:p>
          <w:p w14:paraId="4A5FA0D2"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3.38</w:t>
            </w:r>
          </w:p>
        </w:tc>
        <w:tc>
          <w:tcPr>
            <w:tcW w:w="1559" w:type="dxa"/>
          </w:tcPr>
          <w:p w14:paraId="51A98785"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Técnico</w:t>
            </w:r>
          </w:p>
        </w:tc>
        <w:tc>
          <w:tcPr>
            <w:tcW w:w="3260" w:type="dxa"/>
          </w:tcPr>
          <w:p w14:paraId="6FC0D8C6"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3.38 Superficie principal de exhibición</w:t>
            </w:r>
          </w:p>
          <w:p w14:paraId="54490D81" w14:textId="77777777" w:rsidR="008F034B" w:rsidRPr="00036F26" w:rsidRDefault="008F034B" w:rsidP="00C41B7F">
            <w:pPr>
              <w:keepLines/>
              <w:spacing w:before="100" w:after="60" w:line="190" w:lineRule="exact"/>
              <w:rPr>
                <w:rFonts w:asciiTheme="minorHAnsi" w:hAnsiTheme="minorHAnsi" w:cstheme="minorHAnsi"/>
                <w:sz w:val="20"/>
              </w:rPr>
            </w:pPr>
          </w:p>
          <w:p w14:paraId="1197E528"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Es aquella área donde se encuentra la denominación y la marca comercial del producto, y sus dimensiones se calculan conforme a la NOM-030-SCFI-2006, mencionada en el apartado de referencias.</w:t>
            </w:r>
          </w:p>
          <w:p w14:paraId="0B3EFA77" w14:textId="77777777" w:rsidR="008F034B" w:rsidRPr="00036F26" w:rsidRDefault="008F034B" w:rsidP="00C41B7F">
            <w:pPr>
              <w:keepLines/>
              <w:spacing w:before="100" w:after="60" w:line="190" w:lineRule="exact"/>
              <w:jc w:val="center"/>
              <w:rPr>
                <w:rFonts w:asciiTheme="minorHAnsi" w:hAnsiTheme="minorHAnsi" w:cstheme="minorHAnsi"/>
                <w:b/>
                <w:sz w:val="20"/>
              </w:rPr>
            </w:pPr>
          </w:p>
          <w:p w14:paraId="0A1B4CEC"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3402" w:type="dxa"/>
          </w:tcPr>
          <w:p w14:paraId="5462BB39"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3.38 Superficie principal de exhibición</w:t>
            </w:r>
          </w:p>
          <w:p w14:paraId="6AB54A1A" w14:textId="77777777" w:rsidR="008F034B" w:rsidRPr="00036F26" w:rsidRDefault="008F034B" w:rsidP="00C41B7F">
            <w:pPr>
              <w:rPr>
                <w:rFonts w:asciiTheme="minorHAnsi" w:hAnsiTheme="minorHAnsi" w:cstheme="minorHAnsi"/>
                <w:bCs/>
                <w:color w:val="000000"/>
                <w:sz w:val="20"/>
                <w:shd w:val="clear" w:color="auto" w:fill="FFFFFF"/>
              </w:rPr>
            </w:pPr>
            <w:r w:rsidRPr="00036F26">
              <w:rPr>
                <w:rFonts w:asciiTheme="minorHAnsi" w:hAnsiTheme="minorHAnsi" w:cstheme="minorHAnsi"/>
                <w:bCs/>
                <w:color w:val="000000"/>
                <w:sz w:val="20"/>
                <w:shd w:val="clear" w:color="auto" w:fill="FFFFFF"/>
              </w:rPr>
              <w:t>Es aquella única área de la etiqueta, exceptuando las áreas de sellado y empalme, donde se encuentra la denominación y la marca comercial del producto, entre otros, y sus dimensiones se calculan conforme a la NOM-030-SCFI-2006, y para el caso de envases cilíndricos, la superficie principal de exhibición se determine considerando el área real disponible del envase, utilizando la siguiente fórmula: (circunferencia del envase en su punto medio ÷ 2) × altura del envase.</w:t>
            </w:r>
          </w:p>
          <w:p w14:paraId="47E8C3D3" w14:textId="77777777" w:rsidR="008F034B" w:rsidRPr="00036F26" w:rsidRDefault="008F034B" w:rsidP="00C41B7F">
            <w:pPr>
              <w:keepLines/>
              <w:spacing w:before="100" w:after="60" w:line="190" w:lineRule="exact"/>
              <w:rPr>
                <w:rFonts w:asciiTheme="minorHAnsi" w:hAnsiTheme="minorHAnsi" w:cstheme="minorHAnsi"/>
                <w:sz w:val="20"/>
              </w:rPr>
            </w:pPr>
          </w:p>
        </w:tc>
        <w:tc>
          <w:tcPr>
            <w:tcW w:w="3261" w:type="dxa"/>
          </w:tcPr>
          <w:p w14:paraId="47AD6392" w14:textId="77777777" w:rsidR="008F034B" w:rsidRPr="00036F26" w:rsidRDefault="008F034B" w:rsidP="00C41B7F">
            <w:pPr>
              <w:rPr>
                <w:rFonts w:asciiTheme="minorHAnsi" w:hAnsiTheme="minorHAnsi" w:cstheme="minorHAnsi"/>
                <w:bCs/>
                <w:color w:val="000000"/>
                <w:sz w:val="20"/>
                <w:shd w:val="clear" w:color="auto" w:fill="FFFFFF"/>
              </w:rPr>
            </w:pPr>
            <w:r w:rsidRPr="00036F26">
              <w:rPr>
                <w:rFonts w:asciiTheme="minorHAnsi" w:hAnsiTheme="minorHAnsi" w:cstheme="minorHAnsi"/>
                <w:bCs/>
                <w:color w:val="000000"/>
                <w:sz w:val="20"/>
                <w:shd w:val="clear" w:color="auto" w:fill="FFFFFF"/>
              </w:rPr>
              <w:t>Actualmente se define la “superficie principal de exhibición” únicamente con base en la etiqueta, lo que genera inconsistencias en productos donde la etiqueta es intencionalmente más pequeña que el área visible del envase, como ocurre en envases cilíndricos. Esto ha resultado en diversos productores (principalmente de bebidas con gran presencia en el mercado mexicano) reduciendo de manera intencionada el tamaño del etiquetado frontal.</w:t>
            </w:r>
          </w:p>
          <w:p w14:paraId="61D1C3C9" w14:textId="77777777" w:rsidR="008F034B" w:rsidRPr="00036F26" w:rsidRDefault="008F034B" w:rsidP="00C41B7F">
            <w:pPr>
              <w:rPr>
                <w:rFonts w:asciiTheme="minorHAnsi" w:hAnsiTheme="minorHAnsi" w:cstheme="minorHAnsi"/>
                <w:bCs/>
                <w:color w:val="000000"/>
                <w:sz w:val="20"/>
                <w:shd w:val="clear" w:color="auto" w:fill="FFFFFF"/>
              </w:rPr>
            </w:pPr>
          </w:p>
          <w:p w14:paraId="4750D780" w14:textId="77777777" w:rsidR="008F034B" w:rsidRPr="00036F26" w:rsidRDefault="008F034B" w:rsidP="00C41B7F">
            <w:pPr>
              <w:rPr>
                <w:rFonts w:asciiTheme="minorHAnsi" w:hAnsiTheme="minorHAnsi" w:cstheme="minorHAnsi"/>
                <w:bCs/>
                <w:color w:val="000000"/>
                <w:sz w:val="20"/>
                <w:shd w:val="clear" w:color="auto" w:fill="FFFFFF"/>
              </w:rPr>
            </w:pPr>
            <w:r w:rsidRPr="00036F26">
              <w:rPr>
                <w:rFonts w:asciiTheme="minorHAnsi" w:hAnsiTheme="minorHAnsi" w:cstheme="minorHAnsi"/>
                <w:bCs/>
                <w:color w:val="000000"/>
                <w:sz w:val="20"/>
                <w:shd w:val="clear" w:color="auto" w:fill="FFFFFF"/>
              </w:rPr>
              <w:t xml:space="preserve">Para corregir esta distorsión y asegurar que los elementos obligatorios del etiquetado frontal conserven un tamaño proporcional y visible para los consumidores, se propone calcular la superficie principal de exhibición a partir del área real del envase y no solo de la etiqueta, aplicando una fórmula específica para envases con bases circulares, que brinde mayor certeza técnica y facilite la verificación normativa. </w:t>
            </w:r>
          </w:p>
          <w:p w14:paraId="03682F68"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r>
      <w:tr w:rsidR="008F034B" w:rsidRPr="00245571" w14:paraId="17E7A953" w14:textId="77777777" w:rsidTr="00C41B7F">
        <w:trPr>
          <w:cantSplit/>
          <w:trHeight w:val="1305"/>
        </w:trPr>
        <w:tc>
          <w:tcPr>
            <w:tcW w:w="1276" w:type="dxa"/>
          </w:tcPr>
          <w:p w14:paraId="4FE11F94"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tcPr>
          <w:p w14:paraId="0A8554F3" w14:textId="77777777" w:rsidR="008F034B" w:rsidRPr="00036F26" w:rsidRDefault="008F034B" w:rsidP="00C41B7F">
            <w:pPr>
              <w:rPr>
                <w:rStyle w:val="rvts8"/>
                <w:rFonts w:asciiTheme="minorHAnsi" w:hAnsiTheme="minorHAnsi" w:cstheme="minorHAnsi"/>
                <w:bCs/>
                <w:color w:val="000000"/>
                <w:sz w:val="20"/>
                <w:shd w:val="clear" w:color="auto" w:fill="FFFFFF"/>
              </w:rPr>
            </w:pPr>
            <w:r w:rsidRPr="00036F26">
              <w:rPr>
                <w:rStyle w:val="rvts12"/>
                <w:rFonts w:asciiTheme="minorHAnsi" w:hAnsiTheme="minorHAnsi" w:cstheme="minorHAnsi"/>
                <w:bCs/>
                <w:color w:val="000000"/>
                <w:sz w:val="20"/>
                <w:shd w:val="clear" w:color="auto" w:fill="FFFFFF"/>
              </w:rPr>
              <w:t>Numeral 4.7.1.5</w:t>
            </w:r>
            <w:r w:rsidRPr="00036F26">
              <w:rPr>
                <w:rStyle w:val="rvts8"/>
                <w:rFonts w:asciiTheme="minorHAnsi" w:hAnsiTheme="minorHAnsi" w:cstheme="minorHAnsi"/>
                <w:color w:val="000000"/>
                <w:sz w:val="20"/>
                <w:shd w:val="clear" w:color="auto" w:fill="FFFFFF"/>
              </w:rPr>
              <w:t> </w:t>
            </w:r>
          </w:p>
          <w:p w14:paraId="38189C22" w14:textId="77777777" w:rsidR="008F034B" w:rsidRPr="00036F26" w:rsidRDefault="008F034B" w:rsidP="00C41B7F">
            <w:pPr>
              <w:keepLines/>
              <w:spacing w:before="100" w:after="60" w:line="190" w:lineRule="exact"/>
              <w:jc w:val="center"/>
              <w:rPr>
                <w:rFonts w:asciiTheme="minorHAnsi" w:hAnsiTheme="minorHAnsi" w:cstheme="minorHAnsi"/>
                <w:sz w:val="20"/>
              </w:rPr>
            </w:pPr>
          </w:p>
        </w:tc>
        <w:tc>
          <w:tcPr>
            <w:tcW w:w="1559" w:type="dxa"/>
          </w:tcPr>
          <w:p w14:paraId="232AA47D"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036F26">
              <w:rPr>
                <w:rFonts w:asciiTheme="minorHAnsi" w:hAnsiTheme="minorHAnsi" w:cstheme="minorHAnsi"/>
                <w:sz w:val="20"/>
              </w:rPr>
              <w:t>Técnico</w:t>
            </w:r>
          </w:p>
        </w:tc>
        <w:tc>
          <w:tcPr>
            <w:tcW w:w="3260" w:type="dxa"/>
          </w:tcPr>
          <w:p w14:paraId="35F5049C"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4.7.1.5 Deben aparecer en la superficie principal de exhibición del producto cuando menos la marca, la</w:t>
            </w:r>
          </w:p>
          <w:p w14:paraId="13BEAD2A"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declaración de cantidad, la denominación del producto preenvasado, el etiquetado frontal y aquella cuya ubicación se haya especificado. El resto de la información a que se refiere esta Norma Oficial Mexicana,</w:t>
            </w:r>
          </w:p>
          <w:p w14:paraId="1505EB98" w14:textId="77777777" w:rsidR="008F034B" w:rsidRPr="00036F26" w:rsidRDefault="008F034B" w:rsidP="00C41B7F">
            <w:pPr>
              <w:keepLines/>
              <w:spacing w:before="100" w:after="60" w:line="190" w:lineRule="exact"/>
              <w:rPr>
                <w:rFonts w:asciiTheme="minorHAnsi" w:hAnsiTheme="minorHAnsi" w:cstheme="minorHAnsi"/>
                <w:sz w:val="20"/>
              </w:rPr>
            </w:pPr>
            <w:r w:rsidRPr="00036F26">
              <w:rPr>
                <w:rFonts w:asciiTheme="minorHAnsi" w:hAnsiTheme="minorHAnsi" w:cstheme="minorHAnsi"/>
                <w:sz w:val="20"/>
              </w:rPr>
              <w:t>puede incorporarse en cualquier otra parte del envase.</w:t>
            </w:r>
          </w:p>
        </w:tc>
        <w:tc>
          <w:tcPr>
            <w:tcW w:w="3402" w:type="dxa"/>
          </w:tcPr>
          <w:p w14:paraId="1F2BD6B3" w14:textId="77777777" w:rsidR="008F034B" w:rsidRPr="00036F26" w:rsidRDefault="008F034B" w:rsidP="00C41B7F">
            <w:pPr>
              <w:pStyle w:val="Default"/>
              <w:jc w:val="both"/>
              <w:rPr>
                <w:rFonts w:asciiTheme="minorHAnsi" w:hAnsiTheme="minorHAnsi" w:cstheme="minorHAnsi"/>
                <w:sz w:val="20"/>
                <w:szCs w:val="20"/>
              </w:rPr>
            </w:pPr>
            <w:r w:rsidRPr="00036F26">
              <w:rPr>
                <w:rFonts w:asciiTheme="minorHAnsi" w:hAnsiTheme="minorHAnsi" w:cstheme="minorHAnsi"/>
                <w:bCs/>
                <w:sz w:val="20"/>
                <w:szCs w:val="20"/>
              </w:rPr>
              <w:t>4.7.1.5</w:t>
            </w:r>
            <w:r w:rsidRPr="00036F26">
              <w:rPr>
                <w:rFonts w:asciiTheme="minorHAnsi" w:hAnsiTheme="minorHAnsi" w:cstheme="minorHAnsi"/>
                <w:b/>
                <w:bCs/>
                <w:sz w:val="20"/>
                <w:szCs w:val="20"/>
              </w:rPr>
              <w:t xml:space="preserve"> </w:t>
            </w:r>
            <w:r w:rsidRPr="00036F26">
              <w:rPr>
                <w:rFonts w:asciiTheme="minorHAnsi" w:hAnsiTheme="minorHAnsi" w:cstheme="minorHAnsi"/>
                <w:sz w:val="20"/>
                <w:szCs w:val="20"/>
              </w:rPr>
              <w:t xml:space="preserve">Deben aparecer en la superficie principal de exhibición del producto cuando menos la marca, la declaración de cantidad, la denominación del producto preenvasado, el etiquetado frontal y aquella cuya ubicación se haya especificado, </w:t>
            </w:r>
            <w:r w:rsidRPr="00036F26">
              <w:rPr>
                <w:rFonts w:asciiTheme="minorHAnsi" w:hAnsiTheme="minorHAnsi" w:cstheme="minorHAnsi"/>
                <w:b/>
                <w:bCs/>
                <w:sz w:val="20"/>
                <w:szCs w:val="20"/>
              </w:rPr>
              <w:t>los cuales deberán ser visibles al consumidor en todo momento desde que son expuestos al público de manera física o virtual</w:t>
            </w:r>
            <w:r w:rsidRPr="00036F26">
              <w:rPr>
                <w:rFonts w:asciiTheme="minorHAnsi" w:hAnsiTheme="minorHAnsi" w:cstheme="minorHAnsi"/>
                <w:sz w:val="20"/>
                <w:szCs w:val="20"/>
              </w:rPr>
              <w:t xml:space="preserve">. El resto de la información a que se refiere esta Norma Oficial Mexicana, puede incorporarse en cualquier otra parte del envase. </w:t>
            </w:r>
          </w:p>
          <w:p w14:paraId="6FD85882" w14:textId="77777777" w:rsidR="008F034B" w:rsidRPr="00036F26" w:rsidRDefault="008F034B" w:rsidP="00C41B7F">
            <w:pPr>
              <w:keepLines/>
              <w:spacing w:before="100" w:after="60" w:line="190" w:lineRule="exact"/>
              <w:rPr>
                <w:rFonts w:asciiTheme="minorHAnsi" w:hAnsiTheme="minorHAnsi" w:cstheme="minorHAnsi"/>
                <w:sz w:val="20"/>
              </w:rPr>
            </w:pPr>
          </w:p>
        </w:tc>
        <w:tc>
          <w:tcPr>
            <w:tcW w:w="3261" w:type="dxa"/>
          </w:tcPr>
          <w:p w14:paraId="59C85801" w14:textId="77777777" w:rsidR="008F034B" w:rsidRPr="00036F26" w:rsidRDefault="008F034B" w:rsidP="00C41B7F">
            <w:pPr>
              <w:rPr>
                <w:rFonts w:asciiTheme="minorHAnsi" w:eastAsia="Arial" w:hAnsiTheme="minorHAnsi" w:cstheme="minorHAnsi"/>
                <w:color w:val="000000"/>
                <w:sz w:val="20"/>
              </w:rPr>
            </w:pPr>
            <w:r w:rsidRPr="00036F26">
              <w:rPr>
                <w:rFonts w:asciiTheme="minorHAnsi" w:eastAsia="Arial" w:hAnsiTheme="minorHAnsi" w:cstheme="minorHAnsi"/>
                <w:color w:val="000000"/>
                <w:sz w:val="20"/>
              </w:rPr>
              <w:t xml:space="preserve">Esto con la finalidad de dar cumplimiento al objetivo y campo de aplicación de la NOM-051, mismo que establece la necesidad de contar con un sistema de etiquetado frontal, el cual advierta de forma clara y veraz sobre el contenido de nutrimentos críticos e ingredientes que representan riesgos para la salud en un consumo excesivo. </w:t>
            </w:r>
          </w:p>
          <w:p w14:paraId="75E5040A" w14:textId="77777777" w:rsidR="008F034B" w:rsidRPr="00036F26" w:rsidRDefault="008F034B" w:rsidP="00C41B7F">
            <w:pPr>
              <w:rPr>
                <w:rFonts w:asciiTheme="minorHAnsi" w:eastAsia="Arial" w:hAnsiTheme="minorHAnsi" w:cstheme="minorHAnsi"/>
                <w:color w:val="000000"/>
                <w:sz w:val="20"/>
              </w:rPr>
            </w:pPr>
          </w:p>
          <w:p w14:paraId="6DD8E020" w14:textId="77777777" w:rsidR="008F034B" w:rsidRPr="00036F26" w:rsidRDefault="008F034B" w:rsidP="00C41B7F">
            <w:pPr>
              <w:rPr>
                <w:rFonts w:asciiTheme="minorHAnsi" w:eastAsia="Arial" w:hAnsiTheme="minorHAnsi" w:cstheme="minorHAnsi"/>
                <w:color w:val="000000"/>
                <w:sz w:val="20"/>
              </w:rPr>
            </w:pPr>
            <w:r w:rsidRPr="00036F26">
              <w:rPr>
                <w:rFonts w:asciiTheme="minorHAnsi" w:eastAsia="Arial" w:hAnsiTheme="minorHAnsi" w:cstheme="minorHAnsi"/>
                <w:color w:val="000000"/>
                <w:sz w:val="20"/>
              </w:rPr>
              <w:t>Ubicar los elementos del etiquetado frontal en la parte superior derecha de la cara principal de exhibición del producto (como lo establece la norma) es para que este esté visible y sea una herramienta útil y de fácil acceso al consumidor en todo momento. Sin embargo, se han identificado diversas malas prácticas de ubicación de los etiquetados, especialmente de grandes industrias con gran presencia en el mercado. Estas aplican el diseño de la parte posterior del empaque con elementos de diseño similares o casi idénticos a los de la cara principal de exhibición, incitando al acomodo incorrecto de la cara en los puntos de venta, que terminan por no mostrar los sellos de advertencia, creando una falsa percepción de ausencia de sellos en el producto. Por lo anterior es importante establecer de forma obligatoria que el etiquetado frontal de advertencia deberá estar siempre visible al consumidor en todo momento.</w:t>
            </w:r>
          </w:p>
          <w:p w14:paraId="341B2C6E" w14:textId="77777777" w:rsidR="008F034B" w:rsidRPr="00036F26" w:rsidRDefault="008F034B" w:rsidP="00C41B7F">
            <w:pPr>
              <w:rPr>
                <w:rStyle w:val="rvts8"/>
                <w:rFonts w:asciiTheme="minorHAnsi" w:hAnsiTheme="minorHAnsi" w:cstheme="minorHAnsi"/>
                <w:b/>
                <w:bCs/>
                <w:color w:val="000000"/>
                <w:sz w:val="20"/>
                <w:shd w:val="clear" w:color="auto" w:fill="FFFFFF"/>
              </w:rPr>
            </w:pPr>
          </w:p>
          <w:p w14:paraId="118434BB" w14:textId="77777777" w:rsidR="008F034B" w:rsidRPr="00036F26" w:rsidRDefault="008F034B" w:rsidP="00C41B7F">
            <w:pPr>
              <w:rPr>
                <w:rFonts w:asciiTheme="minorHAnsi" w:hAnsiTheme="minorHAnsi" w:cstheme="minorHAnsi"/>
                <w:bCs/>
                <w:color w:val="000000"/>
                <w:sz w:val="20"/>
                <w:shd w:val="clear" w:color="auto" w:fill="FFFFFF"/>
              </w:rPr>
            </w:pPr>
          </w:p>
        </w:tc>
      </w:tr>
      <w:tr w:rsidR="008F034B" w:rsidRPr="00245571" w14:paraId="44AC799F" w14:textId="77777777" w:rsidTr="00C41B7F">
        <w:trPr>
          <w:cantSplit/>
          <w:trHeight w:val="1305"/>
        </w:trPr>
        <w:tc>
          <w:tcPr>
            <w:tcW w:w="1276" w:type="dxa"/>
          </w:tcPr>
          <w:p w14:paraId="2D57A241"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tcPr>
          <w:p w14:paraId="15F86DEF" w14:textId="77777777" w:rsidR="008F034B" w:rsidRPr="00036F26" w:rsidRDefault="008F034B" w:rsidP="00C41B7F">
            <w:pPr>
              <w:rPr>
                <w:rStyle w:val="rvts12"/>
                <w:rFonts w:asciiTheme="minorHAnsi" w:hAnsiTheme="minorHAnsi" w:cstheme="minorHAnsi"/>
                <w:bCs/>
                <w:color w:val="000000"/>
                <w:sz w:val="20"/>
                <w:shd w:val="clear" w:color="auto" w:fill="FFFFFF"/>
              </w:rPr>
            </w:pPr>
            <w:r w:rsidRPr="00036F26">
              <w:rPr>
                <w:rStyle w:val="rvts12"/>
                <w:rFonts w:asciiTheme="minorHAnsi" w:hAnsiTheme="minorHAnsi" w:cstheme="minorHAnsi"/>
                <w:bCs/>
                <w:color w:val="000000"/>
                <w:sz w:val="20"/>
                <w:shd w:val="clear" w:color="auto" w:fill="FFFFFF"/>
              </w:rPr>
              <w:t>A.5 De la leyenda "CONTIENE CAFEÍNA EVITAR EN NIÑOS" A.6 De la leyenda "CONTIENE EDULCORANTES, NO RECOMENDABLE EN NIÑOS" y nueva leyenda “CONTIENE COLORANTES, NO RECOMENDABLE EN NIÑOS”</w:t>
            </w:r>
          </w:p>
        </w:tc>
        <w:tc>
          <w:tcPr>
            <w:tcW w:w="1559" w:type="dxa"/>
          </w:tcPr>
          <w:p w14:paraId="769E26E3" w14:textId="77777777" w:rsidR="008F034B" w:rsidRPr="00036F26" w:rsidRDefault="008F034B" w:rsidP="00C41B7F">
            <w:pPr>
              <w:keepLines/>
              <w:spacing w:before="100" w:after="60" w:line="190" w:lineRule="exact"/>
              <w:jc w:val="center"/>
              <w:rPr>
                <w:rFonts w:asciiTheme="minorHAnsi" w:hAnsiTheme="minorHAnsi" w:cstheme="minorHAnsi"/>
                <w:sz w:val="20"/>
              </w:rPr>
            </w:pPr>
          </w:p>
        </w:tc>
        <w:tc>
          <w:tcPr>
            <w:tcW w:w="3260" w:type="dxa"/>
          </w:tcPr>
          <w:p w14:paraId="2C46D418" w14:textId="77777777" w:rsidR="008F034B" w:rsidRPr="00036F26" w:rsidRDefault="008F034B" w:rsidP="00C41B7F">
            <w:pPr>
              <w:pStyle w:val="TableParagraph"/>
              <w:ind w:left="107"/>
              <w:rPr>
                <w:rFonts w:asciiTheme="minorHAnsi" w:hAnsiTheme="minorHAnsi" w:cstheme="minorHAnsi"/>
                <w:sz w:val="20"/>
                <w:szCs w:val="20"/>
              </w:rPr>
            </w:pPr>
            <w:r w:rsidRPr="00036F26">
              <w:rPr>
                <w:rFonts w:asciiTheme="minorHAnsi" w:hAnsiTheme="minorHAnsi" w:cstheme="minorHAnsi"/>
                <w:sz w:val="20"/>
                <w:szCs w:val="20"/>
              </w:rPr>
              <w:t>La</w:t>
            </w:r>
            <w:r w:rsidRPr="00036F26">
              <w:rPr>
                <w:rFonts w:asciiTheme="minorHAnsi" w:hAnsiTheme="minorHAnsi" w:cstheme="minorHAnsi"/>
                <w:spacing w:val="-10"/>
                <w:sz w:val="20"/>
                <w:szCs w:val="20"/>
              </w:rPr>
              <w:t xml:space="preserve"> </w:t>
            </w:r>
            <w:r w:rsidRPr="00036F26">
              <w:rPr>
                <w:rFonts w:asciiTheme="minorHAnsi" w:hAnsiTheme="minorHAnsi" w:cstheme="minorHAnsi"/>
                <w:sz w:val="20"/>
                <w:szCs w:val="20"/>
              </w:rPr>
              <w:t>tipografía</w:t>
            </w:r>
            <w:r w:rsidRPr="00036F26">
              <w:rPr>
                <w:rFonts w:asciiTheme="minorHAnsi" w:hAnsiTheme="minorHAnsi" w:cstheme="minorHAnsi"/>
                <w:spacing w:val="-10"/>
                <w:sz w:val="20"/>
                <w:szCs w:val="20"/>
              </w:rPr>
              <w:t xml:space="preserve"> </w:t>
            </w:r>
            <w:r w:rsidRPr="00036F26">
              <w:rPr>
                <w:rFonts w:asciiTheme="minorHAnsi" w:hAnsiTheme="minorHAnsi" w:cstheme="minorHAnsi"/>
                <w:sz w:val="20"/>
                <w:szCs w:val="20"/>
              </w:rPr>
              <w:t>y</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colores</w:t>
            </w:r>
            <w:r w:rsidRPr="00036F26">
              <w:rPr>
                <w:rFonts w:asciiTheme="minorHAnsi" w:hAnsiTheme="minorHAnsi" w:cstheme="minorHAnsi"/>
                <w:spacing w:val="-7"/>
                <w:sz w:val="20"/>
                <w:szCs w:val="20"/>
              </w:rPr>
              <w:t xml:space="preserve"> </w:t>
            </w:r>
            <w:r w:rsidRPr="00036F26">
              <w:rPr>
                <w:rFonts w:asciiTheme="minorHAnsi" w:hAnsiTheme="minorHAnsi" w:cstheme="minorHAnsi"/>
                <w:sz w:val="20"/>
                <w:szCs w:val="20"/>
              </w:rPr>
              <w:t>corresponden</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al de los sellos expresados en el punto</w:t>
            </w:r>
          </w:p>
          <w:p w14:paraId="3443597D" w14:textId="77777777" w:rsidR="008F034B" w:rsidRPr="00036F26" w:rsidRDefault="008F034B" w:rsidP="00C41B7F">
            <w:pPr>
              <w:pStyle w:val="TableParagraph"/>
              <w:spacing w:line="229" w:lineRule="exact"/>
              <w:ind w:left="107"/>
              <w:rPr>
                <w:rFonts w:asciiTheme="minorHAnsi" w:hAnsiTheme="minorHAnsi" w:cstheme="minorHAnsi"/>
                <w:sz w:val="20"/>
                <w:szCs w:val="20"/>
              </w:rPr>
            </w:pPr>
            <w:r w:rsidRPr="00036F26">
              <w:rPr>
                <w:rFonts w:asciiTheme="minorHAnsi" w:hAnsiTheme="minorHAnsi" w:cstheme="minorHAnsi"/>
                <w:sz w:val="20"/>
                <w:szCs w:val="20"/>
              </w:rPr>
              <w:t>A.2.</w:t>
            </w:r>
            <w:r w:rsidRPr="00036F26">
              <w:rPr>
                <w:rFonts w:asciiTheme="minorHAnsi" w:hAnsiTheme="minorHAnsi" w:cstheme="minorHAnsi"/>
                <w:spacing w:val="-5"/>
                <w:sz w:val="20"/>
                <w:szCs w:val="20"/>
              </w:rPr>
              <w:t xml:space="preserve"> </w:t>
            </w:r>
            <w:r w:rsidRPr="00036F26">
              <w:rPr>
                <w:rFonts w:asciiTheme="minorHAnsi" w:hAnsiTheme="minorHAnsi" w:cstheme="minorHAnsi"/>
                <w:sz w:val="20"/>
                <w:szCs w:val="20"/>
              </w:rPr>
              <w:t>La</w:t>
            </w:r>
            <w:r w:rsidRPr="00036F26">
              <w:rPr>
                <w:rFonts w:asciiTheme="minorHAnsi" w:hAnsiTheme="minorHAnsi" w:cstheme="minorHAnsi"/>
                <w:spacing w:val="-6"/>
                <w:sz w:val="20"/>
                <w:szCs w:val="20"/>
              </w:rPr>
              <w:t xml:space="preserve"> </w:t>
            </w:r>
            <w:r w:rsidRPr="00036F26">
              <w:rPr>
                <w:rFonts w:asciiTheme="minorHAnsi" w:hAnsiTheme="minorHAnsi" w:cstheme="minorHAnsi"/>
                <w:sz w:val="20"/>
                <w:szCs w:val="20"/>
              </w:rPr>
              <w:t>leyenda</w:t>
            </w:r>
            <w:r w:rsidRPr="00036F26">
              <w:rPr>
                <w:rFonts w:asciiTheme="minorHAnsi" w:hAnsiTheme="minorHAnsi" w:cstheme="minorHAnsi"/>
                <w:spacing w:val="-6"/>
                <w:sz w:val="20"/>
                <w:szCs w:val="20"/>
              </w:rPr>
              <w:t xml:space="preserve"> </w:t>
            </w:r>
            <w:r w:rsidRPr="00036F26">
              <w:rPr>
                <w:rFonts w:asciiTheme="minorHAnsi" w:hAnsiTheme="minorHAnsi" w:cstheme="minorHAnsi"/>
                <w:sz w:val="20"/>
                <w:szCs w:val="20"/>
              </w:rPr>
              <w:t>debe</w:t>
            </w:r>
            <w:r w:rsidRPr="00036F26">
              <w:rPr>
                <w:rFonts w:asciiTheme="minorHAnsi" w:hAnsiTheme="minorHAnsi" w:cstheme="minorHAnsi"/>
                <w:spacing w:val="-7"/>
                <w:sz w:val="20"/>
                <w:szCs w:val="20"/>
              </w:rPr>
              <w:t xml:space="preserve"> </w:t>
            </w:r>
            <w:r w:rsidRPr="00036F26">
              <w:rPr>
                <w:rFonts w:asciiTheme="minorHAnsi" w:hAnsiTheme="minorHAnsi" w:cstheme="minorHAnsi"/>
                <w:spacing w:val="-2"/>
                <w:sz w:val="20"/>
                <w:szCs w:val="20"/>
              </w:rPr>
              <w:t>cumplir</w:t>
            </w:r>
          </w:p>
          <w:p w14:paraId="16CCCFCD" w14:textId="77777777" w:rsidR="008F034B" w:rsidRPr="00036F26" w:rsidRDefault="008F034B" w:rsidP="00C41B7F">
            <w:pPr>
              <w:pStyle w:val="TableParagraph"/>
              <w:spacing w:before="1"/>
              <w:ind w:left="107" w:right="99"/>
              <w:rPr>
                <w:rFonts w:asciiTheme="minorHAnsi" w:hAnsiTheme="minorHAnsi" w:cstheme="minorHAnsi"/>
                <w:sz w:val="20"/>
                <w:szCs w:val="20"/>
              </w:rPr>
            </w:pPr>
            <w:r w:rsidRPr="00036F26">
              <w:rPr>
                <w:rFonts w:asciiTheme="minorHAnsi" w:hAnsiTheme="minorHAnsi" w:cstheme="minorHAnsi"/>
                <w:sz w:val="20"/>
                <w:szCs w:val="20"/>
              </w:rPr>
              <w:t>con</w:t>
            </w:r>
            <w:r w:rsidRPr="00036F26">
              <w:rPr>
                <w:rFonts w:asciiTheme="minorHAnsi" w:hAnsiTheme="minorHAnsi" w:cstheme="minorHAnsi"/>
                <w:spacing w:val="-11"/>
                <w:sz w:val="20"/>
                <w:szCs w:val="20"/>
              </w:rPr>
              <w:t xml:space="preserve"> </w:t>
            </w:r>
            <w:r w:rsidRPr="00036F26">
              <w:rPr>
                <w:rFonts w:asciiTheme="minorHAnsi" w:hAnsiTheme="minorHAnsi" w:cstheme="minorHAnsi"/>
                <w:sz w:val="20"/>
                <w:szCs w:val="20"/>
              </w:rPr>
              <w:t>las</w:t>
            </w:r>
            <w:r w:rsidRPr="00036F26">
              <w:rPr>
                <w:rFonts w:asciiTheme="minorHAnsi" w:hAnsiTheme="minorHAnsi" w:cstheme="minorHAnsi"/>
                <w:spacing w:val="-6"/>
                <w:sz w:val="20"/>
                <w:szCs w:val="20"/>
              </w:rPr>
              <w:t xml:space="preserve"> </w:t>
            </w:r>
            <w:r w:rsidRPr="00036F26">
              <w:rPr>
                <w:rFonts w:asciiTheme="minorHAnsi" w:hAnsiTheme="minorHAnsi" w:cstheme="minorHAnsi"/>
                <w:sz w:val="20"/>
                <w:szCs w:val="20"/>
              </w:rPr>
              <w:t>especificaciones</w:t>
            </w:r>
            <w:r w:rsidRPr="00036F26">
              <w:rPr>
                <w:rFonts w:asciiTheme="minorHAnsi" w:hAnsiTheme="minorHAnsi" w:cstheme="minorHAnsi"/>
                <w:spacing w:val="-9"/>
                <w:sz w:val="20"/>
                <w:szCs w:val="20"/>
              </w:rPr>
              <w:t xml:space="preserve"> </w:t>
            </w:r>
            <w:r w:rsidRPr="00036F26">
              <w:rPr>
                <w:rFonts w:asciiTheme="minorHAnsi" w:hAnsiTheme="minorHAnsi" w:cstheme="minorHAnsi"/>
                <w:sz w:val="20"/>
                <w:szCs w:val="20"/>
              </w:rPr>
              <w:t>de</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la</w:t>
            </w:r>
            <w:r w:rsidRPr="00036F26">
              <w:rPr>
                <w:rFonts w:asciiTheme="minorHAnsi" w:hAnsiTheme="minorHAnsi" w:cstheme="minorHAnsi"/>
                <w:spacing w:val="-10"/>
                <w:sz w:val="20"/>
                <w:szCs w:val="20"/>
              </w:rPr>
              <w:t xml:space="preserve"> </w:t>
            </w:r>
            <w:r w:rsidRPr="00036F26">
              <w:rPr>
                <w:rFonts w:asciiTheme="minorHAnsi" w:hAnsiTheme="minorHAnsi" w:cstheme="minorHAnsi"/>
                <w:sz w:val="20"/>
                <w:szCs w:val="20"/>
              </w:rPr>
              <w:t xml:space="preserve">Figura </w:t>
            </w:r>
            <w:r w:rsidRPr="00036F26">
              <w:rPr>
                <w:rFonts w:asciiTheme="minorHAnsi" w:hAnsiTheme="minorHAnsi" w:cstheme="minorHAnsi"/>
                <w:spacing w:val="-4"/>
                <w:sz w:val="20"/>
                <w:szCs w:val="20"/>
              </w:rPr>
              <w:t>A4.</w:t>
            </w:r>
          </w:p>
          <w:p w14:paraId="4A4CB893" w14:textId="77777777" w:rsidR="008F034B" w:rsidRPr="00036F26" w:rsidRDefault="008F034B" w:rsidP="00C41B7F">
            <w:pPr>
              <w:keepLines/>
              <w:spacing w:before="100" w:after="60" w:line="190" w:lineRule="exact"/>
              <w:rPr>
                <w:rFonts w:asciiTheme="minorHAnsi" w:hAnsiTheme="minorHAnsi" w:cstheme="minorHAnsi"/>
                <w:sz w:val="20"/>
              </w:rPr>
            </w:pPr>
          </w:p>
        </w:tc>
        <w:tc>
          <w:tcPr>
            <w:tcW w:w="3402" w:type="dxa"/>
          </w:tcPr>
          <w:p w14:paraId="7C51B5B7" w14:textId="77777777" w:rsidR="008F034B" w:rsidRPr="00036F26" w:rsidRDefault="008F034B" w:rsidP="00C41B7F">
            <w:pPr>
              <w:pStyle w:val="TableParagraph"/>
              <w:ind w:left="106" w:right="128"/>
              <w:rPr>
                <w:rFonts w:asciiTheme="minorHAnsi" w:hAnsiTheme="minorHAnsi" w:cstheme="minorHAnsi"/>
                <w:sz w:val="20"/>
                <w:szCs w:val="20"/>
              </w:rPr>
            </w:pPr>
            <w:r w:rsidRPr="00352C3D">
              <w:rPr>
                <w:rFonts w:asciiTheme="minorHAnsi" w:hAnsiTheme="minorHAnsi" w:cstheme="minorHAnsi"/>
                <w:sz w:val="20"/>
                <w:szCs w:val="20"/>
              </w:rPr>
              <w:t>Se</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propone</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la</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adopción</w:t>
            </w:r>
            <w:r w:rsidRPr="00036F26">
              <w:rPr>
                <w:rFonts w:asciiTheme="minorHAnsi" w:hAnsiTheme="minorHAnsi" w:cstheme="minorHAnsi"/>
                <w:spacing w:val="-7"/>
                <w:sz w:val="20"/>
                <w:szCs w:val="20"/>
              </w:rPr>
              <w:t xml:space="preserve"> </w:t>
            </w:r>
            <w:r w:rsidRPr="00036F26">
              <w:rPr>
                <w:rFonts w:asciiTheme="minorHAnsi" w:hAnsiTheme="minorHAnsi" w:cstheme="minorHAnsi"/>
                <w:sz w:val="20"/>
                <w:szCs w:val="20"/>
              </w:rPr>
              <w:t>de</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los</w:t>
            </w:r>
            <w:r w:rsidRPr="00036F26">
              <w:rPr>
                <w:rFonts w:asciiTheme="minorHAnsi" w:hAnsiTheme="minorHAnsi" w:cstheme="minorHAnsi"/>
                <w:spacing w:val="-8"/>
                <w:sz w:val="20"/>
                <w:szCs w:val="20"/>
              </w:rPr>
              <w:t xml:space="preserve"> </w:t>
            </w:r>
            <w:r w:rsidRPr="00036F26">
              <w:rPr>
                <w:rFonts w:asciiTheme="minorHAnsi" w:hAnsiTheme="minorHAnsi" w:cstheme="minorHAnsi"/>
                <w:sz w:val="20"/>
                <w:szCs w:val="20"/>
              </w:rPr>
              <w:t>siguientes tamaños mínimos</w:t>
            </w:r>
          </w:p>
          <w:p w14:paraId="65B53746" w14:textId="77777777" w:rsidR="008F034B" w:rsidRPr="00036F26" w:rsidRDefault="008F034B" w:rsidP="00C41B7F">
            <w:pPr>
              <w:pStyle w:val="TableParagraph"/>
              <w:spacing w:before="6"/>
              <w:rPr>
                <w:rFonts w:asciiTheme="minorHAnsi" w:hAnsiTheme="minorHAnsi" w:cstheme="minorHAnsi"/>
                <w:sz w:val="20"/>
                <w:szCs w:val="20"/>
              </w:rPr>
            </w:pPr>
          </w:p>
          <w:p w14:paraId="741653C4" w14:textId="77777777" w:rsidR="008F034B" w:rsidRPr="00036F26" w:rsidRDefault="008F034B" w:rsidP="00C41B7F">
            <w:pPr>
              <w:pStyle w:val="TableParagraph"/>
              <w:ind w:left="106"/>
              <w:rPr>
                <w:rFonts w:asciiTheme="minorHAnsi" w:hAnsiTheme="minorHAnsi" w:cstheme="minorHAnsi"/>
                <w:sz w:val="20"/>
                <w:szCs w:val="20"/>
              </w:rPr>
            </w:pPr>
            <w:r w:rsidRPr="00036F26">
              <w:rPr>
                <w:rFonts w:asciiTheme="minorHAnsi" w:hAnsiTheme="minorHAnsi" w:cstheme="minorHAnsi"/>
                <w:noProof/>
                <w:sz w:val="20"/>
                <w:szCs w:val="20"/>
                <w:lang w:val="es-MX" w:eastAsia="es-MX"/>
              </w:rPr>
              <w:drawing>
                <wp:inline distT="0" distB="0" distL="0" distR="0" wp14:anchorId="3E920474" wp14:editId="02C1A81E">
                  <wp:extent cx="2035533" cy="1995777"/>
                  <wp:effectExtent l="0" t="0" r="3175" b="5080"/>
                  <wp:docPr id="8" name="Image 8" descr="https://lh7-rt.googleusercontent.com/docsz/AD_4nXcqAW9pkGbBjsaDetJum-U0GVnl14CUexDzOyyHw7WiME90Va6sXAOY4lS5ImqpElNxdbbZvCMMLP-zgRYEB-iD_vHnI2i4CER-DB_LP6ZENRMRsC0UWYjBteOyfXX5Ym5f5a4LKB7MQEd4LPhk-oQ?key=dWr9J5MUr7fRvITfi5RoCR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https://lh7-rt.googleusercontent.com/docsz/AD_4nXcqAW9pkGbBjsaDetJum-U0GVnl14CUexDzOyyHw7WiME90Va6sXAOY4lS5ImqpElNxdbbZvCMMLP-zgRYEB-iD_vHnI2i4CER-DB_LP6ZENRMRsC0UWYjBteOyfXX5Ym5f5a4LKB7MQEd4LPhk-oQ?key=dWr9J5MUr7fRvITfi5RoCRTO"/>
                          <pic:cNvPicPr/>
                        </pic:nvPicPr>
                        <pic:blipFill>
                          <a:blip r:embed="rId11" cstate="print"/>
                          <a:stretch>
                            <a:fillRect/>
                          </a:stretch>
                        </pic:blipFill>
                        <pic:spPr>
                          <a:xfrm>
                            <a:off x="0" y="0"/>
                            <a:ext cx="2056242" cy="2016081"/>
                          </a:xfrm>
                          <a:prstGeom prst="rect">
                            <a:avLst/>
                          </a:prstGeom>
                        </pic:spPr>
                      </pic:pic>
                    </a:graphicData>
                  </a:graphic>
                </wp:inline>
              </w:drawing>
            </w:r>
          </w:p>
          <w:p w14:paraId="17987028" w14:textId="77777777" w:rsidR="008F034B" w:rsidRPr="00245571" w:rsidRDefault="008F034B" w:rsidP="00C41B7F">
            <w:pPr>
              <w:pStyle w:val="Default"/>
              <w:jc w:val="both"/>
              <w:rPr>
                <w:rFonts w:asciiTheme="minorHAnsi" w:hAnsiTheme="minorHAnsi" w:cstheme="minorHAnsi"/>
                <w:bCs/>
                <w:sz w:val="20"/>
                <w:szCs w:val="20"/>
              </w:rPr>
            </w:pPr>
          </w:p>
        </w:tc>
        <w:tc>
          <w:tcPr>
            <w:tcW w:w="3261" w:type="dxa"/>
          </w:tcPr>
          <w:p w14:paraId="4E135C03"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Actualmente, no existen especificaciones para definir el tamaño adecuado de las leyendas “CONTIENE CAFEÍNA EVITAR EN NIÑOS” y “CONTIENE EDULCORANTES, NO RECOMENDABLE EN NIÑOS”. Esta falta de propuestas de tamaños genera inconsistencias en el reporte de las leyendas, resultando en variaciones en el tamaño exhibido en diferentes productos que contienen estos ingredientes.</w:t>
            </w:r>
          </w:p>
          <w:p w14:paraId="57BDC2BE" w14:textId="77777777" w:rsidR="008F034B" w:rsidRPr="00036F26" w:rsidRDefault="008F034B" w:rsidP="00C41B7F">
            <w:pPr>
              <w:rPr>
                <w:rFonts w:asciiTheme="minorHAnsi" w:hAnsiTheme="minorHAnsi" w:cstheme="minorHAnsi"/>
                <w:sz w:val="20"/>
              </w:rPr>
            </w:pPr>
          </w:p>
          <w:p w14:paraId="25E4E331"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 xml:space="preserve">En los puntos de venta se pueden identificar diversos productos de marcas con gran presencia en el mercado, en los que el tamaño de la leyenda es demasiado pequeño, e ilegible para los consumidores, a pesar de que la superficie de exhibición sí cuenta con espacio suficiente para portar la leyenda de manera clara. </w:t>
            </w:r>
          </w:p>
          <w:p w14:paraId="58ECA56B" w14:textId="77777777" w:rsidR="008F034B" w:rsidRPr="00036F26" w:rsidRDefault="008F034B" w:rsidP="00C41B7F">
            <w:pPr>
              <w:rPr>
                <w:rFonts w:asciiTheme="minorHAnsi" w:hAnsiTheme="minorHAnsi" w:cstheme="minorHAnsi"/>
                <w:sz w:val="20"/>
              </w:rPr>
            </w:pPr>
          </w:p>
          <w:p w14:paraId="0992D2D1"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Estas inconsistencias justifican la implementación de tamaños mínimos que garanticen la visibilidad de las leyendas a los consumidores. Este ajuste se ha implementado en otros países de la región como Argentina (cuyos criterios de tamaños se proponen adoptar), en donde también se incluyen leyendas sobre cafeína y edulcorantes con un formato específico y tamaños para distintas áreas de la superficie principal de exhibición. Se propone adoptar esta propuesta derivada de la experiencia comparada para eliminar las inconsistencias observadas entre diferentes productos con las mismas leyendas, y garantizar claridad a los consumidores.</w:t>
            </w:r>
            <w:r w:rsidRPr="00036F26">
              <w:rPr>
                <w:rStyle w:val="Refdenotaalpie"/>
                <w:rFonts w:asciiTheme="minorHAnsi" w:hAnsiTheme="minorHAnsi" w:cstheme="minorHAnsi"/>
                <w:sz w:val="20"/>
              </w:rPr>
              <w:footnoteReference w:id="7"/>
            </w:r>
          </w:p>
          <w:p w14:paraId="60AE4057" w14:textId="77777777" w:rsidR="008F034B" w:rsidRPr="00036F26" w:rsidRDefault="008F034B" w:rsidP="00C41B7F">
            <w:pPr>
              <w:rPr>
                <w:rFonts w:asciiTheme="minorHAnsi" w:hAnsiTheme="minorHAnsi" w:cstheme="minorHAnsi"/>
                <w:sz w:val="20"/>
              </w:rPr>
            </w:pPr>
          </w:p>
          <w:p w14:paraId="17E72E16" w14:textId="77777777" w:rsidR="008F034B" w:rsidRPr="00036F26" w:rsidRDefault="008F034B" w:rsidP="00C41B7F">
            <w:pPr>
              <w:rPr>
                <w:rFonts w:asciiTheme="minorHAnsi" w:hAnsiTheme="minorHAnsi" w:cstheme="minorHAnsi"/>
                <w:sz w:val="20"/>
              </w:rPr>
            </w:pPr>
            <w:r w:rsidRPr="00036F26">
              <w:rPr>
                <w:rFonts w:asciiTheme="minorHAnsi" w:hAnsiTheme="minorHAnsi" w:cstheme="minorHAnsi"/>
                <w:sz w:val="20"/>
              </w:rPr>
              <w:t>Esta propuesta busca que los tamaños puedan ser leídos con claridad por los consumidores, y evitar opacidad o falta de claridad al declarar los contenidos del producto.  Finalmente, se propone que éste estándar de tamaños, también sea aplicable a la nueva leyenda propuesta “CONTIENE COLORANTES ARTIFICIALES, EVITAR EN NIÑOS”.</w:t>
            </w:r>
          </w:p>
          <w:p w14:paraId="1ADFCBB9" w14:textId="77777777" w:rsidR="008F034B" w:rsidRPr="00036F26" w:rsidRDefault="008F034B" w:rsidP="00C41B7F">
            <w:pPr>
              <w:rPr>
                <w:rFonts w:asciiTheme="minorHAnsi" w:hAnsiTheme="minorHAnsi" w:cstheme="minorHAnsi"/>
                <w:sz w:val="20"/>
              </w:rPr>
            </w:pPr>
          </w:p>
          <w:p w14:paraId="169747DC" w14:textId="77777777" w:rsidR="008F034B" w:rsidRPr="00036F26" w:rsidRDefault="008F034B" w:rsidP="00C41B7F">
            <w:pPr>
              <w:rPr>
                <w:rFonts w:asciiTheme="minorHAnsi" w:eastAsia="Arial" w:hAnsiTheme="minorHAnsi" w:cstheme="minorHAnsi"/>
                <w:color w:val="000000"/>
                <w:sz w:val="20"/>
              </w:rPr>
            </w:pPr>
          </w:p>
        </w:tc>
      </w:tr>
      <w:tr w:rsidR="008F034B" w:rsidRPr="00245571" w14:paraId="16E657F6" w14:textId="77777777" w:rsidTr="00C41B7F">
        <w:trPr>
          <w:cantSplit/>
          <w:trHeight w:val="1305"/>
        </w:trPr>
        <w:tc>
          <w:tcPr>
            <w:tcW w:w="1276" w:type="dxa"/>
          </w:tcPr>
          <w:p w14:paraId="27C2932B"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tcPr>
          <w:p w14:paraId="6E949A41" w14:textId="77777777" w:rsidR="008F034B" w:rsidRPr="00036F26" w:rsidRDefault="008F034B" w:rsidP="00C41B7F">
            <w:pPr>
              <w:rPr>
                <w:rStyle w:val="rvts12"/>
                <w:rFonts w:asciiTheme="minorHAnsi" w:hAnsiTheme="minorHAnsi" w:cstheme="minorHAnsi"/>
                <w:bCs/>
                <w:color w:val="000000"/>
                <w:sz w:val="20"/>
                <w:shd w:val="clear" w:color="auto" w:fill="FFFFFF"/>
              </w:rPr>
            </w:pPr>
            <w:r w:rsidRPr="00A67366">
              <w:rPr>
                <w:rStyle w:val="rvts12"/>
                <w:rFonts w:asciiTheme="minorHAnsi" w:hAnsiTheme="minorHAnsi" w:cstheme="minorHAnsi"/>
                <w:bCs/>
                <w:color w:val="000000"/>
                <w:sz w:val="20"/>
                <w:shd w:val="clear" w:color="auto" w:fill="FFFFFF"/>
              </w:rPr>
              <w:t>7.1.5</w:t>
            </w:r>
          </w:p>
        </w:tc>
        <w:tc>
          <w:tcPr>
            <w:tcW w:w="1559" w:type="dxa"/>
          </w:tcPr>
          <w:p w14:paraId="55EEB44F" w14:textId="77777777" w:rsidR="008F034B" w:rsidRPr="00036F26" w:rsidRDefault="008F034B" w:rsidP="00C41B7F">
            <w:pPr>
              <w:keepLines/>
              <w:spacing w:before="100" w:after="60" w:line="190" w:lineRule="exact"/>
              <w:jc w:val="center"/>
              <w:rPr>
                <w:rFonts w:asciiTheme="minorHAnsi" w:hAnsiTheme="minorHAnsi" w:cstheme="minorHAnsi"/>
                <w:sz w:val="20"/>
              </w:rPr>
            </w:pPr>
            <w:r w:rsidRPr="00A67366">
              <w:rPr>
                <w:rFonts w:asciiTheme="minorHAnsi" w:hAnsiTheme="minorHAnsi" w:cstheme="minorHAnsi"/>
                <w:sz w:val="20"/>
              </w:rPr>
              <w:t>Técnico</w:t>
            </w:r>
          </w:p>
        </w:tc>
        <w:tc>
          <w:tcPr>
            <w:tcW w:w="3260" w:type="dxa"/>
          </w:tcPr>
          <w:p w14:paraId="41882EEA" w14:textId="77777777" w:rsidR="008F034B" w:rsidRPr="00A67366" w:rsidRDefault="008F034B" w:rsidP="00C41B7F">
            <w:pPr>
              <w:pStyle w:val="TableParagraph"/>
              <w:ind w:left="107"/>
              <w:rPr>
                <w:rFonts w:asciiTheme="minorHAnsi" w:hAnsiTheme="minorHAnsi" w:cstheme="minorHAnsi"/>
                <w:b/>
                <w:sz w:val="20"/>
                <w:szCs w:val="20"/>
                <w:lang w:val="es-MX"/>
              </w:rPr>
            </w:pPr>
            <w:r w:rsidRPr="00A67366">
              <w:rPr>
                <w:rFonts w:asciiTheme="minorHAnsi" w:hAnsiTheme="minorHAnsi" w:cstheme="minorHAnsi"/>
                <w:b/>
                <w:sz w:val="20"/>
                <w:szCs w:val="20"/>
                <w:lang w:val="es-MX"/>
              </w:rPr>
              <w:t xml:space="preserve">Texto original: </w:t>
            </w:r>
          </w:p>
          <w:p w14:paraId="207C9649" w14:textId="77777777" w:rsidR="008F034B" w:rsidRPr="00A67366" w:rsidRDefault="008F034B" w:rsidP="00C41B7F">
            <w:pPr>
              <w:pStyle w:val="TableParagraph"/>
              <w:ind w:left="107"/>
              <w:rPr>
                <w:rFonts w:asciiTheme="minorHAnsi" w:hAnsiTheme="minorHAnsi" w:cstheme="minorHAnsi"/>
                <w:sz w:val="20"/>
                <w:szCs w:val="20"/>
                <w:lang w:val="es-MX"/>
              </w:rPr>
            </w:pPr>
            <w:r w:rsidRPr="00A67366">
              <w:rPr>
                <w:rFonts w:asciiTheme="minorHAnsi" w:hAnsiTheme="minorHAnsi" w:cstheme="minorHAnsi"/>
                <w:sz w:val="20"/>
                <w:szCs w:val="20"/>
                <w:lang w:val="es-MX"/>
              </w:rPr>
              <w:t>N/A</w:t>
            </w:r>
          </w:p>
          <w:p w14:paraId="669E28BD" w14:textId="77777777" w:rsidR="008F034B" w:rsidRPr="00036F26" w:rsidRDefault="008F034B" w:rsidP="00C41B7F">
            <w:pPr>
              <w:pStyle w:val="TableParagraph"/>
              <w:ind w:left="107"/>
              <w:rPr>
                <w:rFonts w:asciiTheme="minorHAnsi" w:hAnsiTheme="minorHAnsi" w:cstheme="minorHAnsi"/>
                <w:sz w:val="20"/>
                <w:szCs w:val="20"/>
              </w:rPr>
            </w:pPr>
          </w:p>
        </w:tc>
        <w:tc>
          <w:tcPr>
            <w:tcW w:w="3402" w:type="dxa"/>
          </w:tcPr>
          <w:p w14:paraId="5C8DB9AB" w14:textId="77777777" w:rsidR="008F034B" w:rsidRPr="00036F26" w:rsidRDefault="008F034B" w:rsidP="00C41B7F">
            <w:pPr>
              <w:pStyle w:val="TableParagraph"/>
              <w:ind w:left="106" w:right="128"/>
              <w:rPr>
                <w:rFonts w:asciiTheme="minorHAnsi" w:hAnsiTheme="minorHAnsi" w:cstheme="minorHAnsi"/>
                <w:b/>
                <w:sz w:val="20"/>
                <w:szCs w:val="20"/>
                <w:lang w:val="es-MX"/>
              </w:rPr>
            </w:pPr>
            <w:r w:rsidRPr="00036F26">
              <w:rPr>
                <w:rFonts w:asciiTheme="minorHAnsi" w:hAnsiTheme="minorHAnsi" w:cstheme="minorHAnsi"/>
                <w:b/>
                <w:sz w:val="20"/>
                <w:szCs w:val="20"/>
                <w:lang w:val="es-MX"/>
              </w:rPr>
              <w:t xml:space="preserve">7.1.5. Se pondrá una leyenda </w:t>
            </w:r>
            <w:r w:rsidRPr="00036F26">
              <w:rPr>
                <w:rFonts w:asciiTheme="minorHAnsi" w:hAnsiTheme="minorHAnsi" w:cstheme="minorHAnsi"/>
                <w:sz w:val="20"/>
                <w:szCs w:val="20"/>
                <w:lang w:val="es-MX"/>
              </w:rPr>
              <w:t>con el texto</w:t>
            </w:r>
            <w:r w:rsidRPr="00036F26">
              <w:rPr>
                <w:rFonts w:asciiTheme="minorHAnsi" w:hAnsiTheme="minorHAnsi" w:cstheme="minorHAnsi"/>
                <w:b/>
                <w:sz w:val="20"/>
                <w:szCs w:val="20"/>
                <w:lang w:val="es-MX"/>
              </w:rPr>
              <w:t xml:space="preserve"> “Contiene colorantes artificiales, evitar en niños” en todos aquellos productos que incluyan dentro de sus ingredientes cualquier tipo de colorante que no provenga de fuente natural, tal como vegetales,  minerales y/o animales.</w:t>
            </w:r>
          </w:p>
          <w:p w14:paraId="4418BB40" w14:textId="77777777" w:rsidR="008F034B" w:rsidRPr="00036F26" w:rsidRDefault="008F034B" w:rsidP="00C41B7F">
            <w:pPr>
              <w:pStyle w:val="TableParagraph"/>
              <w:ind w:left="106" w:right="128"/>
              <w:rPr>
                <w:rFonts w:asciiTheme="minorHAnsi" w:hAnsiTheme="minorHAnsi" w:cstheme="minorHAnsi"/>
                <w:b/>
                <w:sz w:val="20"/>
                <w:szCs w:val="20"/>
                <w:lang w:val="es-MX"/>
              </w:rPr>
            </w:pPr>
          </w:p>
          <w:p w14:paraId="03D44FD5" w14:textId="77777777" w:rsidR="008F034B" w:rsidRPr="00036F26" w:rsidRDefault="008F034B" w:rsidP="00C41B7F">
            <w:pPr>
              <w:pStyle w:val="TableParagraph"/>
              <w:ind w:left="106" w:right="128"/>
              <w:rPr>
                <w:rFonts w:asciiTheme="minorHAnsi" w:hAnsiTheme="minorHAnsi" w:cstheme="minorHAnsi"/>
                <w:b/>
                <w:sz w:val="20"/>
                <w:szCs w:val="20"/>
                <w:lang w:val="es-MX"/>
              </w:rPr>
            </w:pPr>
            <w:r w:rsidRPr="00036F26">
              <w:rPr>
                <w:rFonts w:asciiTheme="minorHAnsi" w:hAnsiTheme="minorHAnsi" w:cstheme="minorHAnsi"/>
                <w:b/>
                <w:sz w:val="20"/>
                <w:szCs w:val="20"/>
                <w:lang w:val="es-MX"/>
              </w:rPr>
              <w:t xml:space="preserve">DEFINICIÓN. </w:t>
            </w:r>
          </w:p>
          <w:p w14:paraId="03076018" w14:textId="77777777" w:rsidR="008F034B" w:rsidRPr="00036F26" w:rsidRDefault="008F034B" w:rsidP="00C41B7F">
            <w:pPr>
              <w:pStyle w:val="TableParagraph"/>
              <w:ind w:left="106" w:right="128"/>
              <w:rPr>
                <w:rFonts w:asciiTheme="minorHAnsi" w:hAnsiTheme="minorHAnsi" w:cstheme="minorHAnsi"/>
                <w:b/>
                <w:sz w:val="20"/>
                <w:szCs w:val="20"/>
                <w:lang w:val="es-MX"/>
              </w:rPr>
            </w:pPr>
            <w:r w:rsidRPr="00036F26">
              <w:rPr>
                <w:rFonts w:asciiTheme="minorHAnsi" w:hAnsiTheme="minorHAnsi" w:cstheme="minorHAnsi"/>
                <w:b/>
                <w:sz w:val="20"/>
                <w:szCs w:val="20"/>
                <w:lang w:val="es-MX"/>
              </w:rPr>
              <w:t>Se entenderán por Colorantes naturales: Colorantes o pigmentos derivados de fuentes naturales como los vegetales, minerales o animales.</w:t>
            </w:r>
          </w:p>
          <w:p w14:paraId="4CFE37A8" w14:textId="77777777" w:rsidR="008F034B" w:rsidRPr="00036F26" w:rsidRDefault="008F034B" w:rsidP="00C41B7F">
            <w:pPr>
              <w:pStyle w:val="TableParagraph"/>
              <w:ind w:left="106" w:right="128"/>
              <w:rPr>
                <w:rFonts w:asciiTheme="minorHAnsi" w:hAnsiTheme="minorHAnsi" w:cstheme="minorHAnsi"/>
                <w:b/>
                <w:sz w:val="20"/>
                <w:szCs w:val="20"/>
                <w:lang w:val="es-MX"/>
              </w:rPr>
            </w:pPr>
          </w:p>
          <w:p w14:paraId="4FAA180D" w14:textId="77777777" w:rsidR="008F034B" w:rsidRPr="00036F26" w:rsidRDefault="008F034B" w:rsidP="00C41B7F">
            <w:pPr>
              <w:pStyle w:val="TableParagraph"/>
              <w:ind w:left="106" w:right="128"/>
              <w:rPr>
                <w:rFonts w:asciiTheme="minorHAnsi" w:hAnsiTheme="minorHAnsi" w:cstheme="minorHAnsi"/>
                <w:sz w:val="20"/>
                <w:szCs w:val="20"/>
                <w:u w:val="single"/>
              </w:rPr>
            </w:pPr>
            <w:r w:rsidRPr="00036F26">
              <w:rPr>
                <w:rFonts w:asciiTheme="minorHAnsi" w:hAnsiTheme="minorHAnsi" w:cstheme="minorHAnsi"/>
                <w:b/>
                <w:sz w:val="20"/>
                <w:szCs w:val="20"/>
                <w:lang w:val="es-MX"/>
              </w:rPr>
              <w:t>Se entenderán por colorantes artificiales todos aquellos que no sean colorantes naturales.</w:t>
            </w:r>
          </w:p>
        </w:tc>
        <w:tc>
          <w:tcPr>
            <w:tcW w:w="3261" w:type="dxa"/>
          </w:tcPr>
          <w:p w14:paraId="4B698A68"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A nivel internacional, la Unión Europea (UE) ha implementado regulaciones más estrictas sobre el uso de colorantes en alimentos, exigiendo advertencias sanitarias en productos que contienen ciertos colorantes sintéticos. En contraste, en México, el marco regulatorio es menos restrictivo, lo que permite un mayor uso y exposición de la población a estos aditivos, especialmente en niños, niñas y adolescentes (NNA).</w:t>
            </w:r>
          </w:p>
          <w:p w14:paraId="2AEF8FE6" w14:textId="77777777" w:rsidR="008F034B" w:rsidRPr="00A67366" w:rsidRDefault="008F034B" w:rsidP="00C41B7F">
            <w:pPr>
              <w:rPr>
                <w:rFonts w:asciiTheme="minorHAnsi" w:hAnsiTheme="minorHAnsi" w:cstheme="minorHAnsi"/>
                <w:sz w:val="20"/>
              </w:rPr>
            </w:pPr>
          </w:p>
          <w:p w14:paraId="43703568"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De manera específica, la UE requiere que los productos que contienen ciertos colorantes sintéticos deben incluir la advertencia:</w:t>
            </w:r>
          </w:p>
          <w:p w14:paraId="42BDC23B" w14:textId="77777777" w:rsidR="008F034B" w:rsidRPr="00A67366" w:rsidRDefault="008F034B" w:rsidP="00C41B7F">
            <w:pPr>
              <w:rPr>
                <w:rFonts w:asciiTheme="minorHAnsi" w:hAnsiTheme="minorHAnsi" w:cstheme="minorHAnsi"/>
                <w:sz w:val="20"/>
              </w:rPr>
            </w:pPr>
          </w:p>
          <w:p w14:paraId="04D1170C"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“Puede tener efectos negativos sobre la actividad y la atención de los niños”, mientras que en México, no existen</w:t>
            </w:r>
          </w:p>
          <w:p w14:paraId="646DD105"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 xml:space="preserve">este tipo de advertencias específicas. </w:t>
            </w:r>
          </w:p>
          <w:p w14:paraId="63F8865B" w14:textId="77777777" w:rsidR="008F034B" w:rsidRPr="00A67366" w:rsidRDefault="008F034B" w:rsidP="00C41B7F">
            <w:pPr>
              <w:rPr>
                <w:rFonts w:asciiTheme="minorHAnsi" w:hAnsiTheme="minorHAnsi" w:cstheme="minorHAnsi"/>
                <w:sz w:val="20"/>
              </w:rPr>
            </w:pPr>
          </w:p>
          <w:p w14:paraId="50472D38"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Investigaciones han señalado que estos colorantes pueden estar asociados con hiperactividad y trastorno por déficit de atención e hiperactividad (TDAH) en la niñez.</w:t>
            </w:r>
          </w:p>
          <w:p w14:paraId="559EA737" w14:textId="77777777" w:rsidR="008F034B" w:rsidRPr="00A67366" w:rsidRDefault="008F034B" w:rsidP="00C41B7F">
            <w:pPr>
              <w:rPr>
                <w:rFonts w:asciiTheme="minorHAnsi" w:hAnsiTheme="minorHAnsi" w:cstheme="minorHAnsi"/>
                <w:sz w:val="20"/>
              </w:rPr>
            </w:pPr>
          </w:p>
          <w:p w14:paraId="4281DC12"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Por ejemplo, un estudio de McCann et al encontró que el consumo de colorantes azoicos (artificiales) puede incrementar la hiperactividad en menores, lo que llevó a la UE a exigir advertencias en productos que los contienen.</w:t>
            </w:r>
          </w:p>
          <w:p w14:paraId="0AE47862" w14:textId="77777777" w:rsidR="008F034B" w:rsidRPr="00A67366" w:rsidRDefault="008F034B" w:rsidP="00C41B7F">
            <w:pPr>
              <w:rPr>
                <w:rFonts w:asciiTheme="minorHAnsi" w:hAnsiTheme="minorHAnsi" w:cstheme="minorHAnsi"/>
                <w:sz w:val="20"/>
              </w:rPr>
            </w:pPr>
          </w:p>
          <w:p w14:paraId="79EAF2E8"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Además, se ha documentado que pueden causar reacciones alérgicas e intolerancias, particularmente en personas sensibles a la aspirina o con asma. También se han relacionado con urticaria y angioedema en ciertos individuos.</w:t>
            </w:r>
          </w:p>
          <w:p w14:paraId="4575AE09" w14:textId="77777777" w:rsidR="008F034B" w:rsidRPr="00A67366" w:rsidRDefault="008F034B" w:rsidP="00C41B7F">
            <w:pPr>
              <w:rPr>
                <w:rFonts w:asciiTheme="minorHAnsi" w:hAnsiTheme="minorHAnsi" w:cstheme="minorHAnsi"/>
                <w:sz w:val="20"/>
              </w:rPr>
            </w:pPr>
          </w:p>
          <w:p w14:paraId="4EA25D92"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Otros estudios en animales han sugerido que el Amarillo 6 podría causar daño en el ADN en dosis elevadas, lo que ha despertado preocupaciones sobre su posible papel en el desarrollo de cáncer.</w:t>
            </w:r>
          </w:p>
          <w:p w14:paraId="45EC7CC3" w14:textId="77777777" w:rsidR="008F034B" w:rsidRPr="00A67366" w:rsidRDefault="008F034B" w:rsidP="00C41B7F">
            <w:pPr>
              <w:rPr>
                <w:rFonts w:asciiTheme="minorHAnsi" w:hAnsiTheme="minorHAnsi" w:cstheme="minorHAnsi"/>
                <w:sz w:val="20"/>
              </w:rPr>
            </w:pPr>
          </w:p>
          <w:p w14:paraId="1C7B0CB3"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Un reporte publicado a inicios de 2025, documentó que, en México, hay una mayor utilización de colorantes sintéticos en productos ultraprocesados en comparación con Reino Unido y Suiza, lo que expone a la población, especialmente a NNA, a posibles riesgos para la salud y deja ver un doble estándar en la industria alimentaria, ya que las mismas marcas que se venden en México con colorantes artificiales, se venden en Europa con alternativas naturales de color.</w:t>
            </w:r>
          </w:p>
          <w:p w14:paraId="37A2E9EC" w14:textId="77777777" w:rsidR="008F034B" w:rsidRPr="00A67366" w:rsidRDefault="008F034B" w:rsidP="00C41B7F">
            <w:pPr>
              <w:rPr>
                <w:rFonts w:asciiTheme="minorHAnsi" w:hAnsiTheme="minorHAnsi" w:cstheme="minorHAnsi"/>
                <w:sz w:val="20"/>
              </w:rPr>
            </w:pPr>
          </w:p>
          <w:p w14:paraId="7FF4D3BA"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 xml:space="preserve">En la Unión Europea, ha sido la implementación de regulaciones lo que ha reducido el uso de colorantes artificiales, promoviendo alternativas naturales y protegiendo la salud de NNA. </w:t>
            </w:r>
          </w:p>
          <w:p w14:paraId="6E6B9455" w14:textId="77777777" w:rsidR="008F034B" w:rsidRPr="00A67366" w:rsidRDefault="008F034B" w:rsidP="00C41B7F">
            <w:pPr>
              <w:rPr>
                <w:rFonts w:asciiTheme="minorHAnsi" w:hAnsiTheme="minorHAnsi" w:cstheme="minorHAnsi"/>
                <w:sz w:val="20"/>
              </w:rPr>
            </w:pPr>
          </w:p>
          <w:p w14:paraId="30267432"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Asimismo, la Administración de Alimentos y Medicamentos o FDA por sus siglas en inglés, ha emitido restricciones dirigidas a colorantes artificiales con el fin de que la industria alimentaria haga la transición de colorantes basados ​​en petroquímicos a alternativas naturales. Un ejemplo es la eritosina (Rojo FD&amp;C n.° 3,) que se lanzó un comunicado a inicios del año sobre su restricción en el uso en productos alimentarios. Y recientemente en abril 2025, se emitió una restricción para iniciar el proceso para revocar la autorización de dos colorantes alimentarios sintéticos, Rojo Cítrico No. 2 y Naranja B, en los próximos meses, así como eliminar seis colorantes sintéticos restantes (FD&amp;C Verde No. 3, FD&amp;C Rojo No. 40, FD&amp;C Amarillo No. 5, FD&amp;C Amarillo No. 6, FD&amp;C Azul No. 1 y FD&amp;C Azul No. 2) del suministro de alimentos para fines del próximo año. Cabe mencionar que estos últimos son los más utilizados en nuestro país de acuerdo con el reporte realizado en México referido anteriormente.</w:t>
            </w:r>
          </w:p>
          <w:p w14:paraId="4E446A9F" w14:textId="77777777" w:rsidR="008F034B" w:rsidRPr="00A67366" w:rsidRDefault="008F034B" w:rsidP="00C41B7F">
            <w:pPr>
              <w:rPr>
                <w:rFonts w:asciiTheme="minorHAnsi" w:hAnsiTheme="minorHAnsi" w:cstheme="minorHAnsi"/>
                <w:sz w:val="20"/>
              </w:rPr>
            </w:pPr>
          </w:p>
          <w:p w14:paraId="31BB220A" w14:textId="77777777" w:rsidR="008F034B" w:rsidRPr="00A67366" w:rsidRDefault="008F034B" w:rsidP="00C41B7F">
            <w:pPr>
              <w:rPr>
                <w:rFonts w:asciiTheme="minorHAnsi" w:hAnsiTheme="minorHAnsi" w:cstheme="minorHAnsi"/>
                <w:b/>
                <w:sz w:val="20"/>
              </w:rPr>
            </w:pPr>
            <w:r w:rsidRPr="00A67366">
              <w:rPr>
                <w:rFonts w:asciiTheme="minorHAnsi" w:hAnsiTheme="minorHAnsi" w:cstheme="minorHAnsi"/>
                <w:b/>
                <w:sz w:val="20"/>
              </w:rPr>
              <w:t xml:space="preserve">Referencias: </w:t>
            </w:r>
          </w:p>
          <w:p w14:paraId="7315B006" w14:textId="77777777" w:rsidR="008F034B" w:rsidRPr="00036F26" w:rsidRDefault="008F034B" w:rsidP="00C41B7F">
            <w:pPr>
              <w:rPr>
                <w:rFonts w:asciiTheme="minorHAnsi" w:hAnsiTheme="minorHAnsi" w:cstheme="minorHAnsi"/>
                <w:b/>
                <w:bCs/>
                <w:sz w:val="20"/>
                <w:lang w:val="en-US" w:bidi="es-ES"/>
              </w:rPr>
            </w:pPr>
            <w:bookmarkStart w:id="1" w:name="_heading=h.e08afx80ez6r" w:colFirst="0" w:colLast="0"/>
            <w:bookmarkEnd w:id="1"/>
            <w:r w:rsidRPr="00A67366">
              <w:rPr>
                <w:rFonts w:asciiTheme="minorHAnsi" w:hAnsiTheme="minorHAnsi" w:cstheme="minorHAnsi"/>
                <w:bCs/>
                <w:sz w:val="20"/>
                <w:lang w:val="en-US"/>
              </w:rPr>
              <w:t xml:space="preserve">Color Additives in Foods. </w:t>
            </w:r>
            <w:r w:rsidRPr="00036F26">
              <w:rPr>
                <w:rFonts w:asciiTheme="minorHAnsi" w:hAnsiTheme="minorHAnsi" w:cstheme="minorHAnsi"/>
                <w:bCs/>
                <w:sz w:val="20"/>
                <w:lang w:val="en-US" w:bidi="es-ES"/>
              </w:rPr>
              <w:t xml:space="preserve">FDA. Disponible en: </w:t>
            </w:r>
            <w:hyperlink r:id="rId12">
              <w:r w:rsidRPr="00036F26">
                <w:rPr>
                  <w:rStyle w:val="Hipervnculo"/>
                  <w:rFonts w:asciiTheme="minorHAnsi" w:hAnsiTheme="minorHAnsi" w:cstheme="minorHAnsi"/>
                  <w:bCs/>
                  <w:sz w:val="20"/>
                  <w:lang w:val="en-US" w:bidi="es-ES"/>
                </w:rPr>
                <w:t>https://www.fda.gov/food/color-additives-information-consumers/color-additives-foods</w:t>
              </w:r>
            </w:hyperlink>
          </w:p>
          <w:p w14:paraId="220EC094"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 xml:space="preserve">¿Qué es lo que comemos? El doble estándar de los colorantes en los productos ultraprocesados. Estudio comparativo entre México, Suiza y Reino Unido. 2025. Vargas Meza et al. </w:t>
            </w:r>
            <w:hyperlink r:id="rId13">
              <w:r w:rsidRPr="00A67366">
                <w:rPr>
                  <w:rStyle w:val="Hipervnculo"/>
                  <w:rFonts w:asciiTheme="minorHAnsi" w:hAnsiTheme="minorHAnsi" w:cstheme="minorHAnsi"/>
                  <w:sz w:val="20"/>
                </w:rPr>
                <w:t>https://issuu.com/elpoderdelconsumidor/docs/_que_es_lo_que_comemos_el_doble_est_ndar_de_los_c</w:t>
              </w:r>
            </w:hyperlink>
            <w:r w:rsidRPr="00A67366">
              <w:rPr>
                <w:rFonts w:asciiTheme="minorHAnsi" w:hAnsiTheme="minorHAnsi" w:cstheme="minorHAnsi"/>
                <w:sz w:val="20"/>
              </w:rPr>
              <w:t xml:space="preserve">  </w:t>
            </w:r>
          </w:p>
          <w:p w14:paraId="2AFEC4E9" w14:textId="77777777" w:rsidR="008F034B" w:rsidRPr="00A67366" w:rsidRDefault="008F034B" w:rsidP="00C41B7F">
            <w:pPr>
              <w:rPr>
                <w:rFonts w:asciiTheme="minorHAnsi" w:hAnsiTheme="minorHAnsi" w:cstheme="minorHAnsi"/>
                <w:sz w:val="20"/>
              </w:rPr>
            </w:pPr>
          </w:p>
          <w:p w14:paraId="0AD4DBA4" w14:textId="77777777" w:rsidR="008F034B" w:rsidRPr="00A67366" w:rsidRDefault="008F034B" w:rsidP="00C41B7F">
            <w:pPr>
              <w:rPr>
                <w:rFonts w:asciiTheme="minorHAnsi" w:hAnsiTheme="minorHAnsi" w:cstheme="minorHAnsi"/>
                <w:bCs/>
                <w:sz w:val="20"/>
                <w:lang w:bidi="es-ES"/>
              </w:rPr>
            </w:pPr>
            <w:bookmarkStart w:id="2" w:name="_heading=h.ow3mja96j066" w:colFirst="0" w:colLast="0"/>
            <w:bookmarkEnd w:id="2"/>
            <w:r w:rsidRPr="00A67366">
              <w:rPr>
                <w:rFonts w:asciiTheme="minorHAnsi" w:hAnsiTheme="minorHAnsi" w:cstheme="minorHAnsi"/>
                <w:bCs/>
                <w:sz w:val="20"/>
                <w:lang w:bidi="es-ES"/>
              </w:rPr>
              <w:t xml:space="preserve">FD&amp;C Red No. 3. FDA. 15 enero de 2025. Disponible en: </w:t>
            </w:r>
            <w:hyperlink r:id="rId14">
              <w:r w:rsidRPr="00A67366">
                <w:rPr>
                  <w:rStyle w:val="Hipervnculo"/>
                  <w:rFonts w:asciiTheme="minorHAnsi" w:hAnsiTheme="minorHAnsi" w:cstheme="minorHAnsi"/>
                  <w:bCs/>
                  <w:sz w:val="20"/>
                  <w:lang w:bidi="es-ES"/>
                </w:rPr>
                <w:t>https://www.fda.gov/industry/color-additives/fdc-red-no-3</w:t>
              </w:r>
            </w:hyperlink>
          </w:p>
          <w:p w14:paraId="22FAD083" w14:textId="77777777" w:rsidR="008F034B" w:rsidRPr="00A67366" w:rsidRDefault="008F034B" w:rsidP="00C41B7F">
            <w:pPr>
              <w:rPr>
                <w:rFonts w:asciiTheme="minorHAnsi" w:hAnsiTheme="minorHAnsi" w:cstheme="minorHAnsi"/>
                <w:b/>
                <w:bCs/>
                <w:sz w:val="20"/>
                <w:lang w:bidi="es-ES"/>
              </w:rPr>
            </w:pPr>
            <w:bookmarkStart w:id="3" w:name="_heading=h.ey7ccuiuayz" w:colFirst="0" w:colLast="0"/>
            <w:bookmarkEnd w:id="3"/>
            <w:r w:rsidRPr="00A67366">
              <w:rPr>
                <w:rFonts w:asciiTheme="minorHAnsi" w:hAnsiTheme="minorHAnsi" w:cstheme="minorHAnsi"/>
                <w:bCs/>
                <w:sz w:val="20"/>
                <w:lang w:val="en-US"/>
              </w:rPr>
              <w:t xml:space="preserve">HHS, FDA to Phase Out Petroleum-Based Synthetic Dyes in Nation’s Food Supply. </w:t>
            </w:r>
            <w:r w:rsidRPr="00A67366">
              <w:rPr>
                <w:rFonts w:asciiTheme="minorHAnsi" w:hAnsiTheme="minorHAnsi" w:cstheme="minorHAnsi"/>
                <w:bCs/>
                <w:sz w:val="20"/>
                <w:lang w:bidi="es-ES"/>
              </w:rPr>
              <w:t xml:space="preserve">FDA. abril 2025. Disponible en: </w:t>
            </w:r>
            <w:hyperlink r:id="rId15">
              <w:r w:rsidRPr="00A67366">
                <w:rPr>
                  <w:rStyle w:val="Hipervnculo"/>
                  <w:rFonts w:asciiTheme="minorHAnsi" w:hAnsiTheme="minorHAnsi" w:cstheme="minorHAnsi"/>
                  <w:bCs/>
                  <w:sz w:val="20"/>
                  <w:lang w:bidi="es-ES"/>
                </w:rPr>
                <w:t>https://www.fda.gov/news-events/press-announcements/hhs-fda-phase-out-petroleum-based-synthetic-dyes-nations-food-supply</w:t>
              </w:r>
            </w:hyperlink>
          </w:p>
          <w:p w14:paraId="0B1DF255" w14:textId="77777777" w:rsidR="008F034B" w:rsidRPr="00036F26" w:rsidRDefault="008F034B" w:rsidP="00C41B7F">
            <w:pPr>
              <w:rPr>
                <w:rFonts w:asciiTheme="minorHAnsi" w:hAnsiTheme="minorHAnsi" w:cstheme="minorHAnsi"/>
                <w:sz w:val="20"/>
              </w:rPr>
            </w:pPr>
          </w:p>
        </w:tc>
      </w:tr>
      <w:tr w:rsidR="008F034B" w:rsidRPr="00245571" w14:paraId="1377FBA9" w14:textId="77777777" w:rsidTr="00C41B7F">
        <w:trPr>
          <w:cantSplit/>
          <w:trHeight w:val="1305"/>
        </w:trPr>
        <w:tc>
          <w:tcPr>
            <w:tcW w:w="1276" w:type="dxa"/>
          </w:tcPr>
          <w:p w14:paraId="1DC92ADF" w14:textId="77777777" w:rsidR="008F034B" w:rsidRPr="00036F26" w:rsidRDefault="008F034B" w:rsidP="00C41B7F">
            <w:pPr>
              <w:keepLines/>
              <w:spacing w:before="100" w:after="60" w:line="190" w:lineRule="exact"/>
              <w:jc w:val="center"/>
              <w:rPr>
                <w:rFonts w:asciiTheme="minorHAnsi" w:hAnsiTheme="minorHAnsi" w:cstheme="minorHAnsi"/>
                <w:b/>
                <w:sz w:val="20"/>
              </w:rPr>
            </w:pPr>
          </w:p>
        </w:tc>
        <w:tc>
          <w:tcPr>
            <w:tcW w:w="1276" w:type="dxa"/>
          </w:tcPr>
          <w:p w14:paraId="497E70D2" w14:textId="77777777" w:rsidR="008F034B" w:rsidRPr="00A67366" w:rsidRDefault="008F034B" w:rsidP="00C41B7F">
            <w:pPr>
              <w:rPr>
                <w:rFonts w:asciiTheme="minorHAnsi" w:hAnsiTheme="minorHAnsi" w:cstheme="minorHAnsi"/>
                <w:b/>
                <w:bCs/>
                <w:color w:val="000000"/>
                <w:sz w:val="20"/>
                <w:shd w:val="clear" w:color="auto" w:fill="FFFFFF"/>
              </w:rPr>
            </w:pPr>
            <w:r w:rsidRPr="00A67366">
              <w:rPr>
                <w:rFonts w:asciiTheme="minorHAnsi" w:hAnsiTheme="minorHAnsi" w:cstheme="minorHAnsi"/>
                <w:b/>
                <w:bCs/>
                <w:color w:val="000000"/>
                <w:sz w:val="20"/>
                <w:shd w:val="clear" w:color="auto" w:fill="FFFFFF"/>
              </w:rPr>
              <w:t xml:space="preserve">3.49. </w:t>
            </w:r>
          </w:p>
          <w:p w14:paraId="12BB10E4" w14:textId="77777777" w:rsidR="008F034B" w:rsidRPr="00A67366" w:rsidRDefault="008F034B" w:rsidP="00C41B7F">
            <w:pPr>
              <w:rPr>
                <w:rStyle w:val="rvts12"/>
                <w:rFonts w:asciiTheme="minorHAnsi" w:hAnsiTheme="minorHAnsi" w:cstheme="minorHAnsi"/>
                <w:bCs/>
                <w:color w:val="000000"/>
                <w:sz w:val="20"/>
                <w:shd w:val="clear" w:color="auto" w:fill="FFFFFF"/>
              </w:rPr>
            </w:pPr>
          </w:p>
        </w:tc>
        <w:tc>
          <w:tcPr>
            <w:tcW w:w="1559" w:type="dxa"/>
          </w:tcPr>
          <w:p w14:paraId="2D83C42F" w14:textId="77777777" w:rsidR="008F034B" w:rsidRPr="00A67366" w:rsidRDefault="008F034B" w:rsidP="00C41B7F">
            <w:pPr>
              <w:keepLines/>
              <w:spacing w:before="100" w:after="60" w:line="190" w:lineRule="exact"/>
              <w:jc w:val="center"/>
              <w:rPr>
                <w:rFonts w:asciiTheme="minorHAnsi" w:hAnsiTheme="minorHAnsi" w:cstheme="minorHAnsi"/>
                <w:sz w:val="20"/>
              </w:rPr>
            </w:pPr>
            <w:r w:rsidRPr="00A67366">
              <w:rPr>
                <w:rFonts w:asciiTheme="minorHAnsi" w:hAnsiTheme="minorHAnsi" w:cstheme="minorHAnsi"/>
                <w:sz w:val="20"/>
              </w:rPr>
              <w:t>Técnico</w:t>
            </w:r>
          </w:p>
        </w:tc>
        <w:tc>
          <w:tcPr>
            <w:tcW w:w="3260" w:type="dxa"/>
          </w:tcPr>
          <w:p w14:paraId="330A123F" w14:textId="77777777" w:rsidR="008F034B" w:rsidRPr="00036F26" w:rsidRDefault="008F034B" w:rsidP="00C41B7F">
            <w:pPr>
              <w:pStyle w:val="TableParagraph"/>
              <w:ind w:left="107"/>
              <w:rPr>
                <w:rFonts w:asciiTheme="minorHAnsi" w:hAnsiTheme="minorHAnsi" w:cstheme="minorHAnsi"/>
                <w:sz w:val="20"/>
                <w:szCs w:val="20"/>
              </w:rPr>
            </w:pPr>
            <w:r w:rsidRPr="00036F26">
              <w:rPr>
                <w:rFonts w:asciiTheme="minorHAnsi" w:hAnsiTheme="minorHAnsi" w:cstheme="minorHAnsi"/>
                <w:sz w:val="20"/>
                <w:szCs w:val="20"/>
              </w:rPr>
              <w:t>3.49 superficie principal de exhibición</w:t>
            </w:r>
          </w:p>
          <w:p w14:paraId="246AC631" w14:textId="77777777" w:rsidR="008F034B" w:rsidRPr="00036F26" w:rsidRDefault="008F034B" w:rsidP="00C41B7F">
            <w:pPr>
              <w:pStyle w:val="TableParagraph"/>
              <w:ind w:left="107"/>
              <w:rPr>
                <w:rFonts w:asciiTheme="minorHAnsi" w:hAnsiTheme="minorHAnsi" w:cstheme="minorHAnsi"/>
                <w:b/>
                <w:sz w:val="20"/>
                <w:szCs w:val="20"/>
              </w:rPr>
            </w:pPr>
            <w:r w:rsidRPr="00036F26">
              <w:rPr>
                <w:rFonts w:asciiTheme="minorHAnsi" w:hAnsiTheme="minorHAnsi" w:cstheme="minorHAnsi"/>
                <w:sz w:val="20"/>
                <w:szCs w:val="20"/>
              </w:rPr>
              <w:t>es aquella área de la etiqueta, exceptuando las áreas de sellado y empalme, donde se encuentra la denominación y la marca comercial del producto, entre otros, y sus dimensiones se calculan conforme a la NOM-030-SCFI-2006 (ver 2.2 Referencias Normativas).</w:t>
            </w:r>
          </w:p>
        </w:tc>
        <w:tc>
          <w:tcPr>
            <w:tcW w:w="3402" w:type="dxa"/>
          </w:tcPr>
          <w:p w14:paraId="2F420E55" w14:textId="77777777" w:rsidR="008F034B" w:rsidRPr="00A67366" w:rsidRDefault="008F034B" w:rsidP="00C41B7F">
            <w:pPr>
              <w:pStyle w:val="TableParagraph"/>
              <w:ind w:left="106" w:right="128"/>
              <w:rPr>
                <w:rFonts w:asciiTheme="minorHAnsi" w:hAnsiTheme="minorHAnsi" w:cstheme="minorHAnsi"/>
                <w:b/>
                <w:sz w:val="20"/>
                <w:szCs w:val="20"/>
              </w:rPr>
            </w:pPr>
            <w:r w:rsidRPr="00A67366">
              <w:rPr>
                <w:rFonts w:asciiTheme="minorHAnsi" w:hAnsiTheme="minorHAnsi" w:cstheme="minorHAnsi"/>
                <w:b/>
                <w:sz w:val="20"/>
                <w:szCs w:val="20"/>
              </w:rPr>
              <w:t xml:space="preserve">3.49 superficie principal de exhibición </w:t>
            </w:r>
          </w:p>
          <w:p w14:paraId="142CA621" w14:textId="77777777" w:rsidR="008F034B" w:rsidRPr="00A67366" w:rsidRDefault="008F034B" w:rsidP="00C41B7F">
            <w:pPr>
              <w:pStyle w:val="TableParagraph"/>
              <w:ind w:left="106" w:right="128"/>
              <w:rPr>
                <w:rFonts w:asciiTheme="minorHAnsi" w:hAnsiTheme="minorHAnsi" w:cstheme="minorHAnsi"/>
                <w:b/>
                <w:sz w:val="20"/>
                <w:szCs w:val="20"/>
              </w:rPr>
            </w:pPr>
            <w:r w:rsidRPr="00A67366">
              <w:rPr>
                <w:rFonts w:asciiTheme="minorHAnsi" w:hAnsiTheme="minorHAnsi" w:cstheme="minorHAnsi"/>
                <w:b/>
                <w:sz w:val="20"/>
                <w:szCs w:val="20"/>
              </w:rPr>
              <w:t>es aquella única área de la etiqueta, exceptuando las áreas de sellado y empalme, donde se encuentra la denominación y la marca comercial del producto, entre otros, y sus dimensiones se calculan conforme a la NOM-030-SCFI-2006 (ver 2.2 Referencias Normativas). Para el caso de envases cilíndrico, la superficie principal de exhibición deberá determinarse considerando el área real disponible del envase, utilizando la siguiente fórmula: (circunferencia del envase en su punto medio ÷ 2) × altura del envase.</w:t>
            </w:r>
          </w:p>
          <w:p w14:paraId="0FEDEBE6" w14:textId="77777777" w:rsidR="008F034B" w:rsidRPr="00036F26" w:rsidRDefault="008F034B" w:rsidP="00C41B7F">
            <w:pPr>
              <w:pStyle w:val="TableParagraph"/>
              <w:ind w:left="106" w:right="128"/>
              <w:rPr>
                <w:rFonts w:asciiTheme="minorHAnsi" w:hAnsiTheme="minorHAnsi" w:cstheme="minorHAnsi"/>
                <w:b/>
                <w:sz w:val="20"/>
                <w:szCs w:val="20"/>
              </w:rPr>
            </w:pPr>
          </w:p>
        </w:tc>
        <w:tc>
          <w:tcPr>
            <w:tcW w:w="3261" w:type="dxa"/>
          </w:tcPr>
          <w:p w14:paraId="357F9AF7"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La versión actual define la superficie principal de exhibición únicamente con base en la etiqueta, lo que genera inconsistencias en productos donde la etiqueta es intencionalmente más pequeña que el área visible del envase, como ocurre en envases de base circular. Esta práctica ha sido utilizada para reducir artificialmente el tamaño del etiquetado frontal obligatorio, aprovechando las disposiciones que permiten versiones reducidas, como los sellos numéricos.</w:t>
            </w:r>
          </w:p>
          <w:p w14:paraId="7B68C959" w14:textId="77777777" w:rsidR="008F034B" w:rsidRPr="00A67366" w:rsidRDefault="008F034B" w:rsidP="00C41B7F">
            <w:pPr>
              <w:rPr>
                <w:rFonts w:asciiTheme="minorHAnsi" w:hAnsiTheme="minorHAnsi" w:cstheme="minorHAnsi"/>
                <w:sz w:val="20"/>
              </w:rPr>
            </w:pPr>
          </w:p>
          <w:p w14:paraId="7E015071" w14:textId="77777777" w:rsidR="008F034B" w:rsidRPr="00A67366" w:rsidRDefault="008F034B" w:rsidP="00C41B7F">
            <w:pPr>
              <w:rPr>
                <w:rFonts w:asciiTheme="minorHAnsi" w:hAnsiTheme="minorHAnsi" w:cstheme="minorHAnsi"/>
                <w:sz w:val="20"/>
              </w:rPr>
            </w:pPr>
            <w:r w:rsidRPr="00A67366">
              <w:rPr>
                <w:rFonts w:asciiTheme="minorHAnsi" w:hAnsiTheme="minorHAnsi" w:cstheme="minorHAnsi"/>
                <w:sz w:val="20"/>
              </w:rPr>
              <w:t>Para corregir esta distorsión y asegurar que los elementos obligatorios del etiquetado frontal conserven un tamaño proporcional y visible, se propone calcular la superficie principal de exhibición a partir del área real del envase y no solo de la etiqueta, aplicando una fórmula específica para envases circulares, que brinde mayor certeza técnica y facilite la verificación normativa</w:t>
            </w:r>
          </w:p>
        </w:tc>
      </w:tr>
      <w:tr w:rsidR="008037CD" w:rsidRPr="00245571" w14:paraId="28108FFD" w14:textId="77777777" w:rsidTr="005F7E68">
        <w:trPr>
          <w:cantSplit/>
          <w:trHeight w:val="1305"/>
        </w:trPr>
        <w:tc>
          <w:tcPr>
            <w:tcW w:w="1276" w:type="dxa"/>
          </w:tcPr>
          <w:p w14:paraId="44686288" w14:textId="77777777" w:rsidR="008037CD" w:rsidRPr="00036F26" w:rsidRDefault="008037CD" w:rsidP="008037CD">
            <w:pPr>
              <w:keepLines/>
              <w:spacing w:before="100" w:after="60" w:line="190" w:lineRule="exact"/>
              <w:jc w:val="center"/>
              <w:rPr>
                <w:rFonts w:asciiTheme="minorHAnsi" w:hAnsiTheme="minorHAnsi" w:cstheme="minorHAnsi"/>
                <w:b/>
                <w:sz w:val="20"/>
              </w:rPr>
            </w:pPr>
          </w:p>
        </w:tc>
        <w:tc>
          <w:tcPr>
            <w:tcW w:w="1276" w:type="dxa"/>
            <w:vAlign w:val="center"/>
          </w:tcPr>
          <w:p w14:paraId="7398D8D7" w14:textId="235E56EE" w:rsidR="008037CD" w:rsidRPr="00A67366" w:rsidRDefault="008037CD" w:rsidP="008037CD">
            <w:pPr>
              <w:rPr>
                <w:rFonts w:asciiTheme="minorHAnsi" w:hAnsiTheme="minorHAnsi" w:cstheme="minorHAnsi"/>
                <w:b/>
                <w:bCs/>
                <w:color w:val="000000"/>
                <w:sz w:val="20"/>
                <w:shd w:val="clear" w:color="auto" w:fill="FFFFFF"/>
              </w:rPr>
            </w:pPr>
            <w:r>
              <w:rPr>
                <w:rFonts w:ascii="Arial,Bold" w:hAnsi="Arial,Bold" w:cs="Arial,Bold"/>
                <w:b/>
                <w:bCs/>
                <w:sz w:val="18"/>
                <w:szCs w:val="18"/>
              </w:rPr>
              <w:t>6.2 Declaraciones de propiedades condicionales</w:t>
            </w:r>
          </w:p>
        </w:tc>
        <w:tc>
          <w:tcPr>
            <w:tcW w:w="1559" w:type="dxa"/>
          </w:tcPr>
          <w:p w14:paraId="49C39D5A" w14:textId="6DB4D4FD" w:rsidR="008037CD" w:rsidRPr="00A67366" w:rsidRDefault="00D66A5B" w:rsidP="008037CD">
            <w:pPr>
              <w:keepLines/>
              <w:spacing w:before="100" w:after="60" w:line="190" w:lineRule="exact"/>
              <w:jc w:val="center"/>
              <w:rPr>
                <w:rFonts w:asciiTheme="minorHAnsi" w:hAnsiTheme="minorHAnsi" w:cstheme="minorHAnsi"/>
                <w:sz w:val="20"/>
              </w:rPr>
            </w:pPr>
            <w:r>
              <w:rPr>
                <w:rFonts w:asciiTheme="minorHAnsi" w:hAnsiTheme="minorHAnsi" w:cstheme="minorHAnsi"/>
                <w:sz w:val="20"/>
              </w:rPr>
              <w:t>Técnic</w:t>
            </w:r>
            <w:r w:rsidR="008037CD">
              <w:rPr>
                <w:rFonts w:asciiTheme="minorHAnsi" w:hAnsiTheme="minorHAnsi" w:cstheme="minorHAnsi"/>
                <w:sz w:val="20"/>
              </w:rPr>
              <w:t>o</w:t>
            </w:r>
          </w:p>
        </w:tc>
        <w:tc>
          <w:tcPr>
            <w:tcW w:w="3260" w:type="dxa"/>
          </w:tcPr>
          <w:p w14:paraId="41C92DB3" w14:textId="77777777" w:rsidR="008037CD" w:rsidRPr="00036F26" w:rsidRDefault="008037CD" w:rsidP="008037CD">
            <w:pPr>
              <w:pStyle w:val="TableParagraph"/>
              <w:ind w:left="107"/>
              <w:rPr>
                <w:rFonts w:asciiTheme="minorHAnsi" w:hAnsiTheme="minorHAnsi" w:cstheme="minorHAnsi"/>
                <w:b/>
                <w:sz w:val="20"/>
                <w:szCs w:val="20"/>
              </w:rPr>
            </w:pPr>
            <w:r w:rsidRPr="00036F26">
              <w:rPr>
                <w:rFonts w:asciiTheme="minorHAnsi" w:hAnsiTheme="minorHAnsi" w:cstheme="minorHAnsi"/>
                <w:b/>
                <w:sz w:val="20"/>
                <w:szCs w:val="20"/>
              </w:rPr>
              <w:t xml:space="preserve">Texto actual: </w:t>
            </w:r>
          </w:p>
          <w:p w14:paraId="5DEB04AA" w14:textId="77777777" w:rsidR="008037CD" w:rsidRPr="00036F26" w:rsidRDefault="008037CD" w:rsidP="008037CD">
            <w:pPr>
              <w:pStyle w:val="TableParagraph"/>
              <w:ind w:left="107"/>
              <w:rPr>
                <w:rFonts w:asciiTheme="minorHAnsi" w:hAnsiTheme="minorHAnsi" w:cstheme="minorHAnsi"/>
                <w:b/>
                <w:sz w:val="20"/>
                <w:szCs w:val="20"/>
              </w:rPr>
            </w:pPr>
            <w:r w:rsidRPr="00036F26">
              <w:rPr>
                <w:rFonts w:asciiTheme="minorHAnsi" w:hAnsiTheme="minorHAnsi" w:cstheme="minorHAnsi"/>
                <w:b/>
                <w:sz w:val="20"/>
                <w:szCs w:val="20"/>
              </w:rPr>
              <w:t>N/A</w:t>
            </w:r>
          </w:p>
          <w:p w14:paraId="7078593D" w14:textId="77777777" w:rsidR="008037CD" w:rsidRPr="00036F26" w:rsidRDefault="008037CD" w:rsidP="008037CD">
            <w:pPr>
              <w:pStyle w:val="TableParagraph"/>
              <w:ind w:left="107"/>
              <w:rPr>
                <w:rFonts w:asciiTheme="minorHAnsi" w:hAnsiTheme="minorHAnsi" w:cstheme="minorHAnsi"/>
                <w:sz w:val="20"/>
                <w:szCs w:val="20"/>
              </w:rPr>
            </w:pPr>
          </w:p>
        </w:tc>
        <w:tc>
          <w:tcPr>
            <w:tcW w:w="3402" w:type="dxa"/>
          </w:tcPr>
          <w:p w14:paraId="1C1EE964" w14:textId="77777777" w:rsidR="008037CD" w:rsidRPr="00036F26" w:rsidRDefault="008037CD" w:rsidP="008037CD">
            <w:pPr>
              <w:pStyle w:val="TableParagraph"/>
              <w:ind w:right="128"/>
              <w:rPr>
                <w:rFonts w:asciiTheme="minorHAnsi" w:hAnsiTheme="minorHAnsi" w:cstheme="minorHAnsi"/>
                <w:b/>
                <w:sz w:val="20"/>
                <w:szCs w:val="20"/>
              </w:rPr>
            </w:pPr>
            <w:r w:rsidRPr="00036F26">
              <w:rPr>
                <w:rFonts w:asciiTheme="minorHAnsi" w:hAnsiTheme="minorHAnsi" w:cstheme="minorHAnsi"/>
                <w:b/>
                <w:sz w:val="20"/>
                <w:szCs w:val="20"/>
              </w:rPr>
              <w:t>En todo producto alimenticio preenvasado que contenga ingredientes derivados de organismos genéticamente modificados, obligatoriamente deberán contener la siguiente advertencia</w:t>
            </w:r>
          </w:p>
          <w:p w14:paraId="68EC6FED"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"Contiene ingredientes derivados de organismos genéticamente modificados"</w:t>
            </w:r>
          </w:p>
          <w:p w14:paraId="518EC5B1" w14:textId="77777777" w:rsidR="008037CD" w:rsidRPr="00036F26" w:rsidRDefault="008037CD" w:rsidP="008037CD">
            <w:pPr>
              <w:pStyle w:val="TableParagraph"/>
              <w:ind w:left="106" w:right="128"/>
              <w:rPr>
                <w:rFonts w:asciiTheme="minorHAnsi" w:hAnsiTheme="minorHAnsi" w:cstheme="minorHAnsi"/>
                <w:b/>
                <w:sz w:val="20"/>
                <w:szCs w:val="20"/>
              </w:rPr>
            </w:pPr>
          </w:p>
          <w:p w14:paraId="6D42F509"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Además, deberá contar con el siguiente sello: (Triángulo de color rojo que contiene la sigla "OGM" y el texto "Contiene ingredientes derivados de Organismos Genéticamente Modificados").</w:t>
            </w:r>
          </w:p>
          <w:p w14:paraId="3CBF3D07" w14:textId="77777777" w:rsidR="008037CD" w:rsidRPr="00036F26" w:rsidRDefault="008037CD" w:rsidP="008037CD">
            <w:pPr>
              <w:pStyle w:val="TableParagraph"/>
              <w:ind w:left="106" w:right="128"/>
              <w:rPr>
                <w:rFonts w:asciiTheme="minorHAnsi" w:hAnsiTheme="minorHAnsi" w:cstheme="minorHAnsi"/>
                <w:b/>
                <w:sz w:val="20"/>
                <w:szCs w:val="20"/>
              </w:rPr>
            </w:pPr>
          </w:p>
          <w:p w14:paraId="0F94F89B"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Esta información deberá ser impresa en un lugar visible y de un tamaño visible.</w:t>
            </w:r>
          </w:p>
          <w:p w14:paraId="61121B96" w14:textId="77777777" w:rsidR="008037CD" w:rsidRPr="00036F26" w:rsidRDefault="008037CD" w:rsidP="008037CD">
            <w:pPr>
              <w:pStyle w:val="TableParagraph"/>
              <w:ind w:left="106" w:right="128"/>
              <w:rPr>
                <w:rFonts w:asciiTheme="minorHAnsi" w:hAnsiTheme="minorHAnsi" w:cstheme="minorHAnsi"/>
                <w:b/>
                <w:sz w:val="20"/>
                <w:szCs w:val="20"/>
              </w:rPr>
            </w:pPr>
          </w:p>
          <w:p w14:paraId="0EB93C10"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 xml:space="preserve">Se entenderá por: </w:t>
            </w:r>
          </w:p>
          <w:p w14:paraId="7341DADF" w14:textId="77777777" w:rsidR="008037CD" w:rsidRPr="00036F26" w:rsidRDefault="008037CD" w:rsidP="008037CD">
            <w:pPr>
              <w:pStyle w:val="TableParagraph"/>
              <w:ind w:left="106" w:right="128"/>
              <w:rPr>
                <w:rFonts w:asciiTheme="minorHAnsi" w:hAnsiTheme="minorHAnsi" w:cstheme="minorHAnsi"/>
                <w:b/>
                <w:sz w:val="20"/>
                <w:szCs w:val="20"/>
              </w:rPr>
            </w:pPr>
          </w:p>
          <w:p w14:paraId="40768B88"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Productos alimenticios que contengan ingredientes derivados de organismos genéticamente modificados:</w:t>
            </w:r>
          </w:p>
          <w:p w14:paraId="1ED3B740"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sz w:val="20"/>
                <w:szCs w:val="20"/>
              </w:rPr>
              <w:t>Se entiende por productos alimenticios que contengan ingredientes derivados de organismos genéticamente modificados aquellos que sean o incluyan, como ingredientes, catalizadores, metabolitos intermediarios, enzimas, aditivos o componentes utilizados en la producción alimentaria, organismos genéticamente modificados obtenidos mediante técnicas de biotecnología moderna la ingeniería genética, la edición genética, la biología sintética o modificaciones epigenéticas inducidas, que superan las barreras naturales de la reproducción y la recombinación genética.</w:t>
            </w:r>
          </w:p>
          <w:p w14:paraId="3B29D9BB" w14:textId="77777777" w:rsidR="008037CD" w:rsidRPr="00036F26" w:rsidRDefault="008037CD" w:rsidP="008037CD">
            <w:pPr>
              <w:pStyle w:val="TableParagraph"/>
              <w:ind w:left="106" w:right="128"/>
              <w:rPr>
                <w:rFonts w:asciiTheme="minorHAnsi" w:hAnsiTheme="minorHAnsi" w:cstheme="minorHAnsi"/>
                <w:b/>
                <w:sz w:val="20"/>
                <w:szCs w:val="20"/>
              </w:rPr>
            </w:pPr>
          </w:p>
          <w:p w14:paraId="4F92BFB6" w14:textId="77777777" w:rsidR="008037CD" w:rsidRPr="00036F26" w:rsidRDefault="008037CD" w:rsidP="008037CD">
            <w:pPr>
              <w:pStyle w:val="TableParagraph"/>
              <w:ind w:left="106" w:right="128"/>
              <w:rPr>
                <w:rFonts w:asciiTheme="minorHAnsi" w:hAnsiTheme="minorHAnsi" w:cstheme="minorHAnsi"/>
                <w:b/>
                <w:sz w:val="20"/>
                <w:szCs w:val="20"/>
              </w:rPr>
            </w:pPr>
          </w:p>
          <w:p w14:paraId="4BD18EB8" w14:textId="77777777" w:rsidR="008037CD" w:rsidRPr="00036F26" w:rsidRDefault="008037CD" w:rsidP="008037CD">
            <w:pPr>
              <w:pStyle w:val="TableParagraph"/>
              <w:ind w:left="106" w:right="128"/>
              <w:rPr>
                <w:rFonts w:asciiTheme="minorHAnsi" w:hAnsiTheme="minorHAnsi" w:cstheme="minorHAnsi"/>
                <w:b/>
                <w:sz w:val="20"/>
                <w:szCs w:val="20"/>
              </w:rPr>
            </w:pPr>
            <w:r w:rsidRPr="00036F26">
              <w:rPr>
                <w:rFonts w:asciiTheme="minorHAnsi" w:hAnsiTheme="minorHAnsi" w:cstheme="minorHAnsi"/>
                <w:b/>
                <w:noProof/>
                <w:sz w:val="20"/>
                <w:szCs w:val="20"/>
                <w:lang w:val="es-MX" w:eastAsia="es-MX"/>
              </w:rPr>
              <w:drawing>
                <wp:inline distT="0" distB="0" distL="0" distR="0" wp14:anchorId="08BB2623" wp14:editId="0EB2BA6D">
                  <wp:extent cx="1789043" cy="1789043"/>
                  <wp:effectExtent l="0" t="0" r="1905" b="1905"/>
                  <wp:docPr id="2" name="Imagen 2" descr="2025-05-09-123452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5-05-09-123452_0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3712" cy="1793712"/>
                          </a:xfrm>
                          <a:prstGeom prst="rect">
                            <a:avLst/>
                          </a:prstGeom>
                          <a:noFill/>
                          <a:ln>
                            <a:noFill/>
                          </a:ln>
                        </pic:spPr>
                      </pic:pic>
                    </a:graphicData>
                  </a:graphic>
                </wp:inline>
              </w:drawing>
            </w:r>
          </w:p>
          <w:p w14:paraId="415D0E5F" w14:textId="77777777" w:rsidR="008037CD" w:rsidRPr="00036F26" w:rsidRDefault="008037CD" w:rsidP="008037CD">
            <w:pPr>
              <w:pStyle w:val="TableParagraph"/>
              <w:ind w:left="106" w:right="128"/>
              <w:rPr>
                <w:rFonts w:asciiTheme="minorHAnsi" w:hAnsiTheme="minorHAnsi" w:cstheme="minorHAnsi"/>
                <w:b/>
                <w:sz w:val="20"/>
                <w:szCs w:val="20"/>
              </w:rPr>
            </w:pPr>
          </w:p>
          <w:p w14:paraId="29FD3113" w14:textId="77777777" w:rsidR="008037CD" w:rsidRPr="00036F26" w:rsidRDefault="008037CD" w:rsidP="008037CD">
            <w:pPr>
              <w:pStyle w:val="TableParagraph"/>
              <w:ind w:left="106" w:right="128"/>
              <w:rPr>
                <w:rFonts w:asciiTheme="minorHAnsi" w:hAnsiTheme="minorHAnsi" w:cstheme="minorHAnsi"/>
                <w:b/>
                <w:sz w:val="20"/>
                <w:szCs w:val="20"/>
              </w:rPr>
            </w:pPr>
          </w:p>
          <w:p w14:paraId="71506238" w14:textId="77777777" w:rsidR="008037CD" w:rsidRPr="00036F26" w:rsidRDefault="008037CD" w:rsidP="008037CD">
            <w:pPr>
              <w:pStyle w:val="TableParagraph"/>
              <w:ind w:left="106" w:right="128"/>
              <w:rPr>
                <w:rFonts w:asciiTheme="minorHAnsi" w:hAnsiTheme="minorHAnsi" w:cstheme="minorHAnsi"/>
                <w:b/>
                <w:sz w:val="20"/>
                <w:szCs w:val="20"/>
              </w:rPr>
            </w:pPr>
          </w:p>
          <w:p w14:paraId="33D4E0A7" w14:textId="77777777" w:rsidR="008037CD" w:rsidRPr="00036F26" w:rsidRDefault="008037CD" w:rsidP="008037CD">
            <w:pPr>
              <w:pStyle w:val="TableParagraph"/>
              <w:ind w:left="106" w:right="128"/>
              <w:rPr>
                <w:rFonts w:asciiTheme="minorHAnsi" w:hAnsiTheme="minorHAnsi" w:cstheme="minorHAnsi"/>
                <w:b/>
                <w:sz w:val="20"/>
                <w:szCs w:val="20"/>
              </w:rPr>
            </w:pPr>
          </w:p>
          <w:p w14:paraId="5404674E" w14:textId="77777777" w:rsidR="008037CD" w:rsidRPr="00A67366" w:rsidRDefault="008037CD" w:rsidP="008037CD">
            <w:pPr>
              <w:pStyle w:val="TableParagraph"/>
              <w:ind w:left="106" w:right="128"/>
              <w:rPr>
                <w:rFonts w:asciiTheme="minorHAnsi" w:hAnsiTheme="minorHAnsi" w:cstheme="minorHAnsi"/>
                <w:b/>
                <w:sz w:val="20"/>
                <w:szCs w:val="20"/>
              </w:rPr>
            </w:pPr>
          </w:p>
        </w:tc>
        <w:tc>
          <w:tcPr>
            <w:tcW w:w="3261" w:type="dxa"/>
          </w:tcPr>
          <w:p w14:paraId="79A6936D"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En concordancia con lo establecido en la Ley General de la Alimentación Adecuada y Sostenible, en su artículo 21, se propone aplicar una advertencia sobre el contenido de ingredientes que de forma directa provengan del uso de organismos genéticamente modificados.</w:t>
            </w:r>
          </w:p>
          <w:p w14:paraId="0672C6C5" w14:textId="77777777" w:rsidR="008037CD" w:rsidRPr="00036F26" w:rsidRDefault="008037CD" w:rsidP="008037CD">
            <w:pPr>
              <w:rPr>
                <w:rFonts w:asciiTheme="minorHAnsi" w:hAnsiTheme="minorHAnsi" w:cstheme="minorHAnsi"/>
                <w:sz w:val="20"/>
              </w:rPr>
            </w:pPr>
          </w:p>
          <w:p w14:paraId="7C4024F1"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Esto se justifica de acuerdo con lo establecido en el Capítulo III, Del derecho a la información nutricional saludable, Artículo 21 de la LGAAS, que dice lo siguiente: “</w:t>
            </w:r>
            <w:r w:rsidRPr="00036F26">
              <w:rPr>
                <w:rFonts w:asciiTheme="minorHAnsi" w:hAnsiTheme="minorHAnsi" w:cstheme="minorHAnsi"/>
                <w:i/>
                <w:sz w:val="20"/>
              </w:rPr>
              <w:t>Las personas productoras y distribuidoras de alimentos procesados deberán advertir, además de los elementos requeridos en el artículo 212 de la Ley General de Salud, cuando sus productos contengan ingredientes que de forma directa provengan del uso de organismos genéticamente modificados, en los términos que fije la Ley</w:t>
            </w:r>
            <w:r w:rsidRPr="00036F26">
              <w:rPr>
                <w:rFonts w:asciiTheme="minorHAnsi" w:hAnsiTheme="minorHAnsi" w:cstheme="minorHAnsi"/>
                <w:sz w:val="20"/>
              </w:rPr>
              <w:t>”</w:t>
            </w:r>
          </w:p>
          <w:p w14:paraId="43D6264A" w14:textId="77777777" w:rsidR="008037CD" w:rsidRPr="00036F26" w:rsidRDefault="008037CD" w:rsidP="008037CD">
            <w:pPr>
              <w:rPr>
                <w:rFonts w:asciiTheme="minorHAnsi" w:hAnsiTheme="minorHAnsi" w:cstheme="minorHAnsi"/>
                <w:sz w:val="20"/>
              </w:rPr>
            </w:pPr>
          </w:p>
          <w:p w14:paraId="0987BEBA"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Esta Ley fue publicada en el DOF en 2024, sin embargo, el cumplimiento del Capítulo III, Art. 21, todavía no se ha alcanzado. Por ello, se propone adicionar en esta NOM, siendo que es el correcto objetivo y campo de aplicación, con la finalidad de brindar esta información a consumidores, y actuar en concordancia con lo establecido en la Ley. </w:t>
            </w:r>
          </w:p>
          <w:p w14:paraId="37AC90E1" w14:textId="77777777" w:rsidR="008037CD" w:rsidRPr="00036F26" w:rsidRDefault="008037CD" w:rsidP="008037CD">
            <w:pPr>
              <w:rPr>
                <w:rFonts w:asciiTheme="minorHAnsi" w:hAnsiTheme="minorHAnsi" w:cstheme="minorHAnsi"/>
                <w:sz w:val="20"/>
              </w:rPr>
            </w:pPr>
          </w:p>
          <w:p w14:paraId="723EE120"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Además, este tipo de advertencias que informan sobre el contenido de alimentos para consumo humano que utilicen organismos genéticamente modificados, ya han sido implementados en la región en algunos países como Bolivia y Uruguay, por lo que se cuenta con casos internacionales de experiencia comparada.</w:t>
            </w:r>
          </w:p>
          <w:p w14:paraId="714F7D36" w14:textId="77777777" w:rsidR="008037CD" w:rsidRPr="00036F26" w:rsidRDefault="008037CD" w:rsidP="008037CD">
            <w:pPr>
              <w:rPr>
                <w:rFonts w:asciiTheme="minorHAnsi" w:hAnsiTheme="minorHAnsi" w:cstheme="minorHAnsi"/>
                <w:sz w:val="20"/>
              </w:rPr>
            </w:pPr>
          </w:p>
          <w:p w14:paraId="118372BC"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En el caso de Uruguay, se estableció que los alimentos transgénicos deberán estar identificados obligatoriamente mediante etiquetado en su rotulación. La etiqueta incorpora una letra “T” acompañada de la leyenda “Contiene organismos modificados genéticamente”. Está establecido que dicha leyenda debe estar en la cara principal del envase, contrastar con este, y cumplir con determinadas dimensiones para que sea visible. </w:t>
            </w:r>
          </w:p>
          <w:p w14:paraId="7AD56259" w14:textId="77777777" w:rsidR="008037CD" w:rsidRPr="00036F26" w:rsidRDefault="008037CD" w:rsidP="008037CD">
            <w:pPr>
              <w:rPr>
                <w:rFonts w:asciiTheme="minorHAnsi" w:hAnsiTheme="minorHAnsi" w:cstheme="minorHAnsi"/>
                <w:sz w:val="20"/>
              </w:rPr>
            </w:pPr>
          </w:p>
          <w:p w14:paraId="672AD82E"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En el caso de Bolivia, desde 2015 se estableció que estos se deberían declarar mediante un triángulo color rojo con la sigla “OGM” y el texto “Organismo Genéticamente Modificado”</w:t>
            </w:r>
          </w:p>
          <w:p w14:paraId="71B4539F" w14:textId="77777777" w:rsidR="008037CD" w:rsidRPr="00036F26" w:rsidRDefault="008037CD" w:rsidP="008037CD">
            <w:pPr>
              <w:rPr>
                <w:rFonts w:asciiTheme="minorHAnsi" w:hAnsiTheme="minorHAnsi" w:cstheme="minorHAnsi"/>
                <w:sz w:val="20"/>
              </w:rPr>
            </w:pPr>
          </w:p>
          <w:p w14:paraId="2DF8DEB8"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En países como Estados Unidos, el “National Bioengineered Food Disclosure Standard” establece el estándar nacional obligatorio de divulgación de uso de alimentos de bioingeniería. Dicha norma exige a los fabricantes de alimentos, importadores y otras entidades que etiquetan alimentos para la venta, que declaren información sobre alimentos e ingredientes alimentarios producto de la bioingeniería. Esta norma tiene por objeto proporcionar un estándar nacional uniforme obligatorio para la divulgación de información a los consumidores sobre la condición de los alimentos.</w:t>
            </w:r>
          </w:p>
          <w:p w14:paraId="3F84F84F" w14:textId="77777777" w:rsidR="008037CD" w:rsidRPr="00036F26" w:rsidRDefault="008037CD" w:rsidP="008037CD">
            <w:pPr>
              <w:rPr>
                <w:rFonts w:asciiTheme="minorHAnsi" w:hAnsiTheme="minorHAnsi" w:cstheme="minorHAnsi"/>
                <w:sz w:val="20"/>
              </w:rPr>
            </w:pPr>
          </w:p>
          <w:p w14:paraId="6B36C2C4"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Existen, por lo tanto, diversas experiencias internacionales que han avanzado rumbo a la aplicación de etiquetados para alertar sobre el consumo de OGMs, brindando certeza sobre la relevancia de esta medida. </w:t>
            </w:r>
          </w:p>
          <w:p w14:paraId="2EDAD1C4" w14:textId="77777777" w:rsidR="008037CD" w:rsidRPr="00036F26" w:rsidRDefault="008037CD" w:rsidP="008037CD">
            <w:pPr>
              <w:rPr>
                <w:rFonts w:asciiTheme="minorHAnsi" w:hAnsiTheme="minorHAnsi" w:cstheme="minorHAnsi"/>
                <w:sz w:val="20"/>
              </w:rPr>
            </w:pPr>
          </w:p>
          <w:p w14:paraId="1BAE09B9"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En el ámbito nacional, el Consejo Nacional de Ciencia y Tecnología (Conacyt), la Secretaría Ejecutiva de la Comisión Intersecretarial de Bioseguridad de los Organismos Genéticamente Modificados (Cibiogem), y otras autoridades han alertado en foros científicos sobre los daños y riesgos para la salud por consumo de maíz transgénico. En dichos foros y comunicados, dichas autoridades han informado sobre los efectos ambientales y en la salud humana derivados del uso y consumo de organismos genéticamente modificados (OGM), con evidencia que se ha robustecido en los últimos años. </w:t>
            </w:r>
          </w:p>
          <w:p w14:paraId="7EB7B68D" w14:textId="77777777" w:rsidR="008037CD" w:rsidRPr="00036F26" w:rsidRDefault="008037CD" w:rsidP="008037CD">
            <w:pPr>
              <w:rPr>
                <w:rFonts w:asciiTheme="minorHAnsi" w:hAnsiTheme="minorHAnsi" w:cstheme="minorHAnsi"/>
                <w:sz w:val="20"/>
              </w:rPr>
            </w:pPr>
          </w:p>
          <w:p w14:paraId="68E32FD6"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Uno de los principales riesgos para la salud asociados con el consumo de OGM señalados por CONAHCYT se deben a la relación entre el uso de glifosato y los cultivos OGM, (en este sentido, el glifosato ha sido clasificado como un plaguicidas altamente peligrosos con efectos carcinogénicos).</w:t>
            </w:r>
          </w:p>
          <w:p w14:paraId="6EAF253E"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Se estima que la exposición humana al glifosato es sumamente frecuente y ocurre de manera cotidiana en poblaciones rurales y urbanas. Existen dos tipos de exposición: ocupacional y no ocupacional. Esta se puede dar por consumo de productos con residuos del herbicida a través de alimentos o bebidas. </w:t>
            </w:r>
          </w:p>
          <w:p w14:paraId="5034A911" w14:textId="77777777" w:rsidR="008037CD" w:rsidRPr="00036F26" w:rsidRDefault="008037CD" w:rsidP="008037CD">
            <w:pPr>
              <w:rPr>
                <w:rFonts w:asciiTheme="minorHAnsi" w:hAnsiTheme="minorHAnsi" w:cstheme="minorHAnsi"/>
                <w:sz w:val="20"/>
              </w:rPr>
            </w:pPr>
          </w:p>
          <w:p w14:paraId="0F46E099"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Diversos estudios alertan que el creciente uso mundial de glifosato y otros pesticidas altamente peligrosos, ha suscitado preocupación por su residualidad en las fuentes de agua, las plantas no objetivo, los alimentos, y el medio ambiente. La exposición humana indirecta se da a través de la absorción de residuos por ingestión.</w:t>
            </w:r>
          </w:p>
          <w:p w14:paraId="2D2304E1" w14:textId="77777777" w:rsidR="008037CD" w:rsidRPr="00036F26" w:rsidRDefault="008037CD" w:rsidP="008037CD">
            <w:pPr>
              <w:rPr>
                <w:rFonts w:asciiTheme="minorHAnsi" w:hAnsiTheme="minorHAnsi" w:cstheme="minorHAnsi"/>
                <w:sz w:val="20"/>
              </w:rPr>
            </w:pPr>
          </w:p>
          <w:p w14:paraId="337F0787" w14:textId="77777777" w:rsidR="008037CD" w:rsidRPr="00036F26" w:rsidRDefault="008037CD" w:rsidP="008037CD">
            <w:pPr>
              <w:rPr>
                <w:rFonts w:asciiTheme="minorHAnsi" w:hAnsiTheme="minorHAnsi" w:cstheme="minorHAnsi"/>
                <w:b/>
                <w:sz w:val="20"/>
              </w:rPr>
            </w:pPr>
            <w:r w:rsidRPr="00036F26">
              <w:rPr>
                <w:rFonts w:asciiTheme="minorHAnsi" w:hAnsiTheme="minorHAnsi" w:cstheme="minorHAnsi"/>
                <w:b/>
                <w:sz w:val="20"/>
              </w:rPr>
              <w:t>Fuentes:</w:t>
            </w:r>
          </w:p>
          <w:p w14:paraId="2B508D14" w14:textId="77777777" w:rsidR="008037CD" w:rsidRPr="00036F26" w:rsidRDefault="008037CD" w:rsidP="008037CD">
            <w:pPr>
              <w:rPr>
                <w:rFonts w:asciiTheme="minorHAnsi" w:hAnsiTheme="minorHAnsi" w:cstheme="minorHAnsi"/>
                <w:b/>
                <w:sz w:val="20"/>
              </w:rPr>
            </w:pPr>
          </w:p>
          <w:p w14:paraId="4C40F33C"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DOF. Ley General de Alimentación Adecuada y Sostenible.</w:t>
            </w:r>
          </w:p>
          <w:p w14:paraId="72C01CC3" w14:textId="77777777" w:rsidR="008037CD" w:rsidRPr="00036F26" w:rsidRDefault="003C038A" w:rsidP="008037CD">
            <w:pPr>
              <w:rPr>
                <w:rFonts w:asciiTheme="minorHAnsi" w:hAnsiTheme="minorHAnsi" w:cstheme="minorHAnsi"/>
                <w:sz w:val="20"/>
              </w:rPr>
            </w:pPr>
            <w:hyperlink r:id="rId17">
              <w:r w:rsidR="008037CD" w:rsidRPr="00036F26">
                <w:rPr>
                  <w:rStyle w:val="Hipervnculo"/>
                  <w:rFonts w:asciiTheme="minorHAnsi" w:hAnsiTheme="minorHAnsi" w:cstheme="minorHAnsi"/>
                  <w:sz w:val="20"/>
                </w:rPr>
                <w:t>https://www.diputados.gob.mx/LeyesBiblio/pdf/LGAAS.pdf</w:t>
              </w:r>
            </w:hyperlink>
          </w:p>
          <w:p w14:paraId="4F1C481F" w14:textId="77777777" w:rsidR="008037CD" w:rsidRPr="00036F26" w:rsidRDefault="008037CD" w:rsidP="008037CD">
            <w:pPr>
              <w:rPr>
                <w:rFonts w:asciiTheme="minorHAnsi" w:hAnsiTheme="minorHAnsi" w:cstheme="minorHAnsi"/>
                <w:sz w:val="20"/>
              </w:rPr>
            </w:pPr>
          </w:p>
          <w:p w14:paraId="0B079AAB"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República Plurinacional de Bolivia. Decreto Supremo. Numeral 3 del Art 15 de la Ley 144. </w:t>
            </w:r>
          </w:p>
          <w:p w14:paraId="3DC53796" w14:textId="77777777" w:rsidR="008037CD" w:rsidRPr="00036F26" w:rsidRDefault="003C038A" w:rsidP="008037CD">
            <w:pPr>
              <w:rPr>
                <w:rFonts w:asciiTheme="minorHAnsi" w:hAnsiTheme="minorHAnsi" w:cstheme="minorHAnsi"/>
                <w:sz w:val="20"/>
              </w:rPr>
            </w:pPr>
            <w:hyperlink r:id="rId18" w:anchor=":~:text=El%20presente%20Decreto%20Supremo%20es,derive%20de%20organismos%20gen%C3%A9ticamente%20modificados">
              <w:r w:rsidR="008037CD" w:rsidRPr="00036F26">
                <w:rPr>
                  <w:rStyle w:val="Hipervnculo"/>
                  <w:rFonts w:asciiTheme="minorHAnsi" w:hAnsiTheme="minorHAnsi" w:cstheme="minorHAnsi"/>
                  <w:sz w:val="20"/>
                </w:rPr>
                <w:t>https://bolivia.infoleyes.com/norma/5596/decreto-supremo-2452#:~:text=El%20presente%20Decreto%20Supremo%20es,derive%20de%20organismos%20gen%C3%A9ticamente%20modificados</w:t>
              </w:r>
            </w:hyperlink>
            <w:r w:rsidR="008037CD" w:rsidRPr="00036F26">
              <w:rPr>
                <w:rFonts w:asciiTheme="minorHAnsi" w:hAnsiTheme="minorHAnsi" w:cstheme="minorHAnsi"/>
                <w:sz w:val="20"/>
              </w:rPr>
              <w:t>.</w:t>
            </w:r>
          </w:p>
          <w:p w14:paraId="51F24870" w14:textId="77777777" w:rsidR="008037CD" w:rsidRPr="00036F26" w:rsidRDefault="008037CD" w:rsidP="008037CD">
            <w:pPr>
              <w:rPr>
                <w:rFonts w:asciiTheme="minorHAnsi" w:hAnsiTheme="minorHAnsi" w:cstheme="minorHAnsi"/>
                <w:sz w:val="20"/>
              </w:rPr>
            </w:pPr>
          </w:p>
          <w:p w14:paraId="56D1CD73"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Reglamentación para alimentos transgénicos, República de Uruguay.. </w:t>
            </w:r>
          </w:p>
          <w:p w14:paraId="49C389AC"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https://montevideo.gub.uy/areas-tematicas/salud-y-alimentacion/regulacion-alimentaria/reglamentacion-para-alimentos-transgenicos</w:t>
            </w:r>
          </w:p>
          <w:p w14:paraId="6D855D9A" w14:textId="77777777" w:rsidR="008037CD" w:rsidRPr="00036F26" w:rsidRDefault="008037CD" w:rsidP="008037CD">
            <w:pPr>
              <w:rPr>
                <w:rFonts w:asciiTheme="minorHAnsi" w:hAnsiTheme="minorHAnsi" w:cstheme="minorHAnsi"/>
                <w:sz w:val="20"/>
              </w:rPr>
            </w:pPr>
          </w:p>
          <w:p w14:paraId="3064E025" w14:textId="77777777" w:rsidR="008037CD" w:rsidRPr="00036F26" w:rsidRDefault="008037CD" w:rsidP="008037CD">
            <w:pPr>
              <w:rPr>
                <w:rFonts w:asciiTheme="minorHAnsi" w:hAnsiTheme="minorHAnsi" w:cstheme="minorHAnsi"/>
                <w:sz w:val="20"/>
                <w:lang w:val="en-US"/>
              </w:rPr>
            </w:pPr>
            <w:r w:rsidRPr="00036F26">
              <w:rPr>
                <w:rFonts w:asciiTheme="minorHAnsi" w:hAnsiTheme="minorHAnsi" w:cstheme="minorHAnsi"/>
                <w:sz w:val="20"/>
                <w:lang w:val="en-US"/>
              </w:rPr>
              <w:t xml:space="preserve">National Bioengineered Food Disclosure Standard. U.S.A. </w:t>
            </w:r>
          </w:p>
          <w:p w14:paraId="28F7C761" w14:textId="77777777" w:rsidR="008037CD" w:rsidRPr="00036F26" w:rsidRDefault="003C038A" w:rsidP="008037CD">
            <w:pPr>
              <w:rPr>
                <w:rFonts w:asciiTheme="minorHAnsi" w:hAnsiTheme="minorHAnsi" w:cstheme="minorHAnsi"/>
                <w:sz w:val="20"/>
                <w:lang w:val="en-US"/>
              </w:rPr>
            </w:pPr>
            <w:hyperlink r:id="rId19">
              <w:r w:rsidR="008037CD" w:rsidRPr="00036F26">
                <w:rPr>
                  <w:rStyle w:val="Hipervnculo"/>
                  <w:rFonts w:asciiTheme="minorHAnsi" w:hAnsiTheme="minorHAnsi" w:cstheme="minorHAnsi"/>
                  <w:sz w:val="20"/>
                  <w:lang w:val="en-US"/>
                </w:rPr>
                <w:t>https://www.ams.usda.gov/rules-regulations/national-bioengineered-food-disclosure-standard</w:t>
              </w:r>
            </w:hyperlink>
          </w:p>
          <w:p w14:paraId="44A8A935" w14:textId="77777777" w:rsidR="008037CD" w:rsidRPr="00036F26" w:rsidRDefault="008037CD" w:rsidP="008037CD">
            <w:pPr>
              <w:rPr>
                <w:rFonts w:asciiTheme="minorHAnsi" w:hAnsiTheme="minorHAnsi" w:cstheme="minorHAnsi"/>
                <w:sz w:val="20"/>
                <w:lang w:val="en-US"/>
              </w:rPr>
            </w:pPr>
          </w:p>
          <w:p w14:paraId="15702F59"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Conacyt. Daños y riesgos para la salud por consumo de maíz transgénico y la regulación internacional. </w:t>
            </w:r>
          </w:p>
          <w:p w14:paraId="0BD51BB0" w14:textId="77777777" w:rsidR="008037CD" w:rsidRPr="00036F26" w:rsidRDefault="003C038A" w:rsidP="008037CD">
            <w:pPr>
              <w:rPr>
                <w:rFonts w:asciiTheme="minorHAnsi" w:hAnsiTheme="minorHAnsi" w:cstheme="minorHAnsi"/>
                <w:sz w:val="20"/>
              </w:rPr>
            </w:pPr>
            <w:hyperlink r:id="rId20">
              <w:r w:rsidR="008037CD" w:rsidRPr="00036F26">
                <w:rPr>
                  <w:rStyle w:val="Hipervnculo"/>
                  <w:rFonts w:asciiTheme="minorHAnsi" w:hAnsiTheme="minorHAnsi" w:cstheme="minorHAnsi"/>
                  <w:sz w:val="20"/>
                </w:rPr>
                <w:t>https://secihti.mx/webinario-conacyt-cibiogem-aborda-evidencias-y-mecanismos-de-dano-a-la-salud-asociado-al-maiz-transgenico-y-glifosato/</w:t>
              </w:r>
            </w:hyperlink>
          </w:p>
          <w:p w14:paraId="0993E4D1" w14:textId="77777777" w:rsidR="008037CD" w:rsidRPr="00036F26" w:rsidRDefault="008037CD" w:rsidP="008037CD">
            <w:pPr>
              <w:rPr>
                <w:rFonts w:asciiTheme="minorHAnsi" w:hAnsiTheme="minorHAnsi" w:cstheme="minorHAnsi"/>
                <w:sz w:val="20"/>
              </w:rPr>
            </w:pPr>
          </w:p>
          <w:p w14:paraId="09BDCA0B" w14:textId="77777777" w:rsidR="008037CD" w:rsidRPr="00036F26" w:rsidRDefault="008037CD" w:rsidP="008037CD">
            <w:pPr>
              <w:rPr>
                <w:rFonts w:asciiTheme="minorHAnsi" w:hAnsiTheme="minorHAnsi" w:cstheme="minorHAnsi"/>
                <w:bCs/>
                <w:sz w:val="20"/>
                <w:lang w:bidi="es-ES"/>
              </w:rPr>
            </w:pPr>
            <w:bookmarkStart w:id="4" w:name="_heading=h.mpbs5w1hfut1" w:colFirst="0" w:colLast="0"/>
            <w:bookmarkEnd w:id="4"/>
            <w:r w:rsidRPr="00036F26">
              <w:rPr>
                <w:rFonts w:asciiTheme="minorHAnsi" w:hAnsiTheme="minorHAnsi" w:cstheme="minorHAnsi"/>
                <w:bCs/>
                <w:sz w:val="20"/>
                <w:lang w:bidi="es-ES"/>
              </w:rPr>
              <w:t>Evidencias y mecanismos de daño a la salud asociado al maíz transgénico y glifosato</w:t>
            </w:r>
          </w:p>
          <w:p w14:paraId="50FCD09A" w14:textId="77777777" w:rsidR="008037CD" w:rsidRPr="00036F26" w:rsidRDefault="003C038A" w:rsidP="008037CD">
            <w:pPr>
              <w:rPr>
                <w:rFonts w:asciiTheme="minorHAnsi" w:hAnsiTheme="minorHAnsi" w:cstheme="minorHAnsi"/>
                <w:sz w:val="20"/>
                <w:lang w:val="es-ES"/>
              </w:rPr>
            </w:pPr>
            <w:hyperlink r:id="rId21">
              <w:r w:rsidR="008037CD" w:rsidRPr="00036F26">
                <w:rPr>
                  <w:rStyle w:val="Hipervnculo"/>
                  <w:rFonts w:asciiTheme="minorHAnsi" w:hAnsiTheme="minorHAnsi" w:cstheme="minorHAnsi"/>
                  <w:sz w:val="20"/>
                  <w:lang w:val="es-ES"/>
                </w:rPr>
                <w:t>https://www.youtube.com/watch?v=75eB8WtDDvU</w:t>
              </w:r>
            </w:hyperlink>
          </w:p>
          <w:p w14:paraId="0DDB7E2A" w14:textId="77777777" w:rsidR="008037CD" w:rsidRPr="00036F26" w:rsidRDefault="008037CD" w:rsidP="008037CD">
            <w:pPr>
              <w:rPr>
                <w:rFonts w:asciiTheme="minorHAnsi" w:hAnsiTheme="minorHAnsi" w:cstheme="minorHAnsi"/>
                <w:sz w:val="20"/>
                <w:lang w:val="es-ES"/>
              </w:rPr>
            </w:pPr>
          </w:p>
          <w:p w14:paraId="3883B90C" w14:textId="77777777" w:rsidR="008037CD" w:rsidRPr="00036F26" w:rsidRDefault="008037CD" w:rsidP="008037CD">
            <w:pPr>
              <w:rPr>
                <w:rFonts w:asciiTheme="minorHAnsi" w:hAnsiTheme="minorHAnsi" w:cstheme="minorHAnsi"/>
                <w:sz w:val="20"/>
              </w:rPr>
            </w:pPr>
            <w:r w:rsidRPr="00036F26">
              <w:rPr>
                <w:rFonts w:asciiTheme="minorHAnsi" w:hAnsiTheme="minorHAnsi" w:cstheme="minorHAnsi"/>
                <w:sz w:val="20"/>
              </w:rPr>
              <w:t xml:space="preserve">CONAHCYT. Gobierno de México. La indisoluble relación del glifosato con los transgénicos. </w:t>
            </w:r>
            <w:hyperlink r:id="rId22">
              <w:r w:rsidRPr="00036F26">
                <w:rPr>
                  <w:rStyle w:val="Hipervnculo"/>
                  <w:rFonts w:asciiTheme="minorHAnsi" w:hAnsiTheme="minorHAnsi" w:cstheme="minorHAnsi"/>
                  <w:sz w:val="20"/>
                </w:rPr>
                <w:t>https://alimentacion.conahcyt.mx/glifosato/descargables/impactos/la_indisoluble_relacion_del_glifosato_con_los_transgenico.pd</w:t>
              </w:r>
            </w:hyperlink>
            <w:r w:rsidRPr="00036F26">
              <w:rPr>
                <w:rFonts w:asciiTheme="minorHAnsi" w:hAnsiTheme="minorHAnsi" w:cstheme="minorHAnsi"/>
                <w:sz w:val="20"/>
              </w:rPr>
              <w:t>f</w:t>
            </w:r>
          </w:p>
          <w:p w14:paraId="305EC625" w14:textId="77777777" w:rsidR="008037CD" w:rsidRPr="00036F26" w:rsidRDefault="008037CD" w:rsidP="008037CD">
            <w:pPr>
              <w:rPr>
                <w:rFonts w:asciiTheme="minorHAnsi" w:hAnsiTheme="minorHAnsi" w:cstheme="minorHAnsi"/>
                <w:sz w:val="20"/>
              </w:rPr>
            </w:pPr>
          </w:p>
          <w:p w14:paraId="3EE4498A" w14:textId="77777777" w:rsidR="008037CD" w:rsidRPr="00036F26" w:rsidRDefault="008037CD" w:rsidP="008037CD">
            <w:pPr>
              <w:rPr>
                <w:rFonts w:asciiTheme="minorHAnsi" w:hAnsiTheme="minorHAnsi" w:cstheme="minorHAnsi"/>
                <w:sz w:val="20"/>
                <w:lang w:val="en-US"/>
              </w:rPr>
            </w:pPr>
            <w:r w:rsidRPr="00036F26">
              <w:rPr>
                <w:rFonts w:asciiTheme="minorHAnsi" w:hAnsiTheme="minorHAnsi" w:cstheme="minorHAnsi"/>
                <w:sz w:val="20"/>
                <w:lang w:val="en-US"/>
              </w:rPr>
              <w:t xml:space="preserve">WHO. International Agency for research on cancer. Monograph on Gliphosate. </w:t>
            </w:r>
          </w:p>
          <w:p w14:paraId="56E613A4" w14:textId="77777777" w:rsidR="008037CD" w:rsidRPr="00036F26" w:rsidRDefault="003C038A" w:rsidP="008037CD">
            <w:pPr>
              <w:rPr>
                <w:rFonts w:asciiTheme="minorHAnsi" w:hAnsiTheme="minorHAnsi" w:cstheme="minorHAnsi"/>
                <w:sz w:val="20"/>
                <w:lang w:val="en-US"/>
              </w:rPr>
            </w:pPr>
            <w:hyperlink r:id="rId23">
              <w:r w:rsidR="008037CD" w:rsidRPr="00036F26">
                <w:rPr>
                  <w:rStyle w:val="Hipervnculo"/>
                  <w:rFonts w:asciiTheme="minorHAnsi" w:hAnsiTheme="minorHAnsi" w:cstheme="minorHAnsi"/>
                  <w:sz w:val="20"/>
                  <w:lang w:val="en-US"/>
                </w:rPr>
                <w:t>https://www.iarc.who.int/featured-news/media-centre-iarc-news-glyphosate/</w:t>
              </w:r>
            </w:hyperlink>
          </w:p>
          <w:p w14:paraId="538C529E" w14:textId="77777777" w:rsidR="008037CD" w:rsidRPr="00036F26" w:rsidRDefault="008037CD" w:rsidP="008037CD">
            <w:pPr>
              <w:rPr>
                <w:rFonts w:asciiTheme="minorHAnsi" w:hAnsiTheme="minorHAnsi" w:cstheme="minorHAnsi"/>
                <w:sz w:val="20"/>
                <w:lang w:val="en-US"/>
              </w:rPr>
            </w:pPr>
          </w:p>
          <w:p w14:paraId="47FBF5C6" w14:textId="494A61A6" w:rsidR="008037CD" w:rsidRPr="00A67366" w:rsidRDefault="008037CD" w:rsidP="008037CD">
            <w:pPr>
              <w:rPr>
                <w:rFonts w:asciiTheme="minorHAnsi" w:hAnsiTheme="minorHAnsi" w:cstheme="minorHAnsi"/>
                <w:sz w:val="20"/>
              </w:rPr>
            </w:pPr>
            <w:r w:rsidRPr="00036F26">
              <w:rPr>
                <w:rFonts w:asciiTheme="minorHAnsi" w:hAnsiTheme="minorHAnsi" w:cstheme="minorHAnsi"/>
                <w:sz w:val="20"/>
                <w:lang w:val="en-US"/>
              </w:rPr>
              <w:t xml:space="preserve">Soukup, S.T.; Merz, B.; Bub, A.; Hoffmann, I.; Watzl, B.; Steinberg, P.; Kulling, S.E. Glyphosate and AMPA levels in human urine samples and their correlation with food consumption: Results of the cross-sectional KarMeN study in Germany. </w:t>
            </w:r>
            <w:r w:rsidRPr="00036F26">
              <w:rPr>
                <w:rFonts w:asciiTheme="minorHAnsi" w:hAnsiTheme="minorHAnsi" w:cstheme="minorHAnsi"/>
                <w:i/>
                <w:sz w:val="20"/>
              </w:rPr>
              <w:t>Arch. Toxicol.</w:t>
            </w:r>
            <w:r w:rsidRPr="00036F26">
              <w:rPr>
                <w:rFonts w:asciiTheme="minorHAnsi" w:hAnsiTheme="minorHAnsi" w:cstheme="minorHAnsi"/>
                <w:sz w:val="20"/>
              </w:rPr>
              <w:t xml:space="preserve"> </w:t>
            </w:r>
            <w:r w:rsidRPr="00036F26">
              <w:rPr>
                <w:rFonts w:asciiTheme="minorHAnsi" w:hAnsiTheme="minorHAnsi" w:cstheme="minorHAnsi"/>
                <w:b/>
                <w:sz w:val="20"/>
              </w:rPr>
              <w:t xml:space="preserve">2020. </w:t>
            </w:r>
            <w:hyperlink r:id="rId24">
              <w:r w:rsidRPr="00036F26">
                <w:rPr>
                  <w:rStyle w:val="Hipervnculo"/>
                  <w:rFonts w:asciiTheme="minorHAnsi" w:hAnsiTheme="minorHAnsi" w:cstheme="minorHAnsi"/>
                  <w:sz w:val="20"/>
                </w:rPr>
                <w:t>https://link.springer.com/article/10.1007/s00204-020-02704-7</w:t>
              </w:r>
            </w:hyperlink>
          </w:p>
        </w:tc>
      </w:tr>
    </w:tbl>
    <w:p w14:paraId="7CFE3890" w14:textId="77777777" w:rsidR="008F034B" w:rsidRPr="00BD7B24" w:rsidRDefault="008F034B" w:rsidP="008F034B">
      <w:pPr>
        <w:pStyle w:val="NormalWeb"/>
        <w:ind w:left="360"/>
        <w:jc w:val="both"/>
        <w:rPr>
          <w:rFonts w:asciiTheme="minorHAnsi" w:hAnsiTheme="minorHAnsi" w:cstheme="minorHAnsi"/>
          <w:b/>
          <w:color w:val="000000"/>
          <w:sz w:val="20"/>
          <w:szCs w:val="20"/>
          <w:shd w:val="clear" w:color="auto" w:fill="FFFFFF"/>
        </w:rPr>
      </w:pPr>
    </w:p>
    <w:p w14:paraId="3FCCF907" w14:textId="77777777" w:rsidR="006F7FDD" w:rsidRDefault="006F7FDD" w:rsidP="008A7AAC">
      <w:pPr>
        <w:jc w:val="center"/>
        <w:rPr>
          <w:rFonts w:ascii="Montserrat" w:hAnsi="Montserrat"/>
          <w:bCs/>
          <w:color w:val="000000" w:themeColor="text1"/>
          <w:sz w:val="18"/>
          <w:szCs w:val="18"/>
        </w:rPr>
      </w:pPr>
    </w:p>
    <w:p w14:paraId="357A602E" w14:textId="77777777" w:rsidR="006F7FDD" w:rsidRDefault="006F7FDD" w:rsidP="008A7AAC">
      <w:pPr>
        <w:jc w:val="center"/>
        <w:rPr>
          <w:rFonts w:ascii="Montserrat" w:hAnsi="Montserrat"/>
          <w:bCs/>
          <w:color w:val="000000" w:themeColor="text1"/>
          <w:sz w:val="18"/>
          <w:szCs w:val="18"/>
        </w:rPr>
      </w:pPr>
    </w:p>
    <w:p w14:paraId="32C887FF" w14:textId="77777777" w:rsidR="006F7FDD" w:rsidRDefault="006F7FDD" w:rsidP="008A7AAC">
      <w:pPr>
        <w:jc w:val="center"/>
        <w:rPr>
          <w:rFonts w:ascii="Montserrat" w:hAnsi="Montserrat"/>
          <w:bCs/>
          <w:color w:val="000000" w:themeColor="text1"/>
          <w:sz w:val="18"/>
          <w:szCs w:val="18"/>
        </w:rPr>
      </w:pPr>
    </w:p>
    <w:p w14:paraId="52161FD2" w14:textId="77777777" w:rsidR="008F034B" w:rsidRDefault="008F034B" w:rsidP="008A7AAC">
      <w:pPr>
        <w:jc w:val="center"/>
        <w:rPr>
          <w:rFonts w:ascii="Montserrat" w:hAnsi="Montserrat"/>
          <w:bCs/>
          <w:color w:val="000000" w:themeColor="text1"/>
          <w:sz w:val="18"/>
          <w:szCs w:val="18"/>
        </w:rPr>
      </w:pPr>
    </w:p>
    <w:p w14:paraId="35CFA17E" w14:textId="77777777" w:rsidR="008F034B" w:rsidRDefault="008F034B" w:rsidP="008A7AAC">
      <w:pPr>
        <w:jc w:val="center"/>
        <w:rPr>
          <w:rFonts w:ascii="Montserrat" w:hAnsi="Montserrat"/>
          <w:bCs/>
          <w:color w:val="000000" w:themeColor="text1"/>
          <w:sz w:val="18"/>
          <w:szCs w:val="18"/>
        </w:rPr>
      </w:pPr>
    </w:p>
    <w:p w14:paraId="79732F51" w14:textId="77777777" w:rsidR="008F034B" w:rsidRDefault="008F034B" w:rsidP="008A7AAC">
      <w:pPr>
        <w:jc w:val="center"/>
        <w:rPr>
          <w:rFonts w:ascii="Montserrat" w:hAnsi="Montserrat"/>
          <w:bCs/>
          <w:color w:val="000000" w:themeColor="text1"/>
          <w:sz w:val="18"/>
          <w:szCs w:val="18"/>
        </w:rPr>
      </w:pPr>
    </w:p>
    <w:p w14:paraId="52EB40BE" w14:textId="77777777" w:rsidR="008F034B" w:rsidRDefault="008F034B" w:rsidP="008A7AAC">
      <w:pPr>
        <w:jc w:val="center"/>
        <w:rPr>
          <w:rFonts w:ascii="Montserrat" w:hAnsi="Montserrat"/>
          <w:bCs/>
          <w:color w:val="000000" w:themeColor="text1"/>
          <w:sz w:val="18"/>
          <w:szCs w:val="18"/>
        </w:rPr>
      </w:pPr>
    </w:p>
    <w:p w14:paraId="261F9EDA" w14:textId="77777777" w:rsidR="008A7AAC" w:rsidRPr="006F7FDD" w:rsidRDefault="008A7AAC" w:rsidP="0007109B">
      <w:pPr>
        <w:spacing w:line="276" w:lineRule="auto"/>
        <w:rPr>
          <w:rFonts w:ascii="Montserrat" w:hAnsi="Montserrat" w:cs="Arial"/>
          <w:sz w:val="18"/>
          <w:szCs w:val="18"/>
        </w:rPr>
      </w:pPr>
    </w:p>
    <w:sectPr w:rsidR="008A7AAC" w:rsidRPr="006F7FDD" w:rsidSect="00F810CC">
      <w:headerReference w:type="default" r:id="rId25"/>
      <w:footerReference w:type="default" r:id="rId26"/>
      <w:pgSz w:w="15840" w:h="12240" w:orient="landscape" w:code="1"/>
      <w:pgMar w:top="720" w:right="720" w:bottom="1702" w:left="720" w:header="737" w:footer="567" w:gutter="0"/>
      <w:pgNumType w:start="2"/>
      <w:cols w:space="720"/>
      <w:formProt w:val="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5EF64" w14:textId="77777777" w:rsidR="003C038A" w:rsidRDefault="003C038A">
      <w:r>
        <w:separator/>
      </w:r>
    </w:p>
  </w:endnote>
  <w:endnote w:type="continuationSeparator" w:id="0">
    <w:p w14:paraId="242FFF9D" w14:textId="77777777" w:rsidR="003C038A" w:rsidRDefault="003C038A">
      <w:r>
        <w:continuationSeparator/>
      </w:r>
    </w:p>
  </w:endnote>
  <w:endnote w:type="continuationNotice" w:id="1">
    <w:p w14:paraId="7455DF8C" w14:textId="77777777" w:rsidR="003C038A" w:rsidRDefault="003C038A">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roman"/>
    <w:notTrueType/>
    <w:pitch w:val="default"/>
  </w:font>
  <w:font w:name="Arial MT">
    <w:altName w:val="Arial"/>
    <w:charset w:val="01"/>
    <w:family w:val="swiss"/>
    <w:pitch w:val="variable"/>
  </w:font>
  <w:font w:name="Montserrat">
    <w:altName w:val="Courier New"/>
    <w:charset w:val="00"/>
    <w:family w:val="auto"/>
    <w:pitch w:val="variable"/>
    <w:sig w:usb0="00000001" w:usb1="00000003" w:usb2="00000000" w:usb3="00000000" w:csb0="00000197" w:csb1="00000000"/>
  </w:font>
  <w:font w:name="Noto Sans">
    <w:altName w:val="Sans Serif Collection"/>
    <w:charset w:val="00"/>
    <w:family w:val="swiss"/>
    <w:pitch w:val="variable"/>
    <w:sig w:usb0="E00082FF" w:usb1="400078FF" w:usb2="00000021" w:usb3="00000000" w:csb0="0000019F" w:csb1="00000000"/>
  </w:font>
  <w:font w:name="Arial,Bold">
    <w:panose1 w:val="00000000000000000000"/>
    <w:charset w:val="00"/>
    <w:family w:val="swiss"/>
    <w:notTrueType/>
    <w:pitch w:val="default"/>
    <w:sig w:usb0="00000003" w:usb1="00000000" w:usb2="00000000" w:usb3="00000000" w:csb0="00000001" w:csb1="00000000"/>
  </w:font>
  <w:font w:name="Geo">
    <w:altName w:val="Cambri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5FF5" w14:textId="77777777" w:rsidR="00412D37" w:rsidRPr="00F810CC" w:rsidRDefault="00CC56F0" w:rsidP="00F810CC">
    <w:pPr>
      <w:tabs>
        <w:tab w:val="center" w:pos="7200"/>
        <w:tab w:val="left" w:pos="11685"/>
      </w:tabs>
      <w:jc w:val="left"/>
      <w:textDirection w:val="btLr"/>
      <w:rPr>
        <w:rFonts w:ascii="Noto Sans" w:hAnsi="Noto Sans" w:cs="Noto Sans"/>
        <w:sz w:val="20"/>
        <w:lang w:val="es-ES"/>
      </w:rPr>
    </w:pPr>
    <w:r>
      <w:rPr>
        <w:rFonts w:ascii="Noto Sans" w:eastAsia="Geo" w:hAnsi="Noto Sans" w:cs="Noto Sans"/>
        <w:noProof/>
        <w:color w:val="4D192A"/>
        <w:sz w:val="20"/>
        <w:lang w:eastAsia="es-MX"/>
      </w:rPr>
      <mc:AlternateContent>
        <mc:Choice Requires="wps">
          <w:drawing>
            <wp:anchor distT="0" distB="0" distL="114300" distR="114300" simplePos="0" relativeHeight="251659264" behindDoc="0" locked="0" layoutInCell="1" allowOverlap="1" wp14:anchorId="5C7BF80A" wp14:editId="1AE78E19">
              <wp:simplePos x="0" y="0"/>
              <wp:positionH relativeFrom="column">
                <wp:posOffset>1181100</wp:posOffset>
              </wp:positionH>
              <wp:positionV relativeFrom="paragraph">
                <wp:posOffset>-398145</wp:posOffset>
              </wp:positionV>
              <wp:extent cx="914400" cy="4191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914400" cy="419100"/>
                      </a:xfrm>
                      <a:prstGeom prst="rect">
                        <a:avLst/>
                      </a:prstGeom>
                      <a:solidFill>
                        <a:schemeClr val="lt1"/>
                      </a:solidFill>
                      <a:ln w="6350">
                        <a:noFill/>
                      </a:ln>
                    </wps:spPr>
                    <wps:txbx>
                      <w:txbxContent>
                        <w:p w14:paraId="28502012" w14:textId="77777777" w:rsidR="00CC56F0" w:rsidRPr="00CC56F0" w:rsidRDefault="00CC56F0" w:rsidP="00CC56F0">
                          <w:pPr>
                            <w:pStyle w:val="Piedepgina"/>
                            <w:tabs>
                              <w:tab w:val="clear" w:pos="4820"/>
                              <w:tab w:val="clear" w:pos="9639"/>
                              <w:tab w:val="left" w:pos="284"/>
                              <w:tab w:val="left" w:pos="1843"/>
                              <w:tab w:val="left" w:pos="2268"/>
                              <w:tab w:val="left" w:pos="3119"/>
                              <w:tab w:val="left" w:pos="4395"/>
                            </w:tabs>
                            <w:spacing w:before="20" w:after="20"/>
                            <w:ind w:left="1418"/>
                            <w:jc w:val="left"/>
                            <w:rPr>
                              <w:rStyle w:val="Nmerodepgina"/>
                              <w:b/>
                              <w:bCs/>
                              <w:sz w:val="16"/>
                            </w:rPr>
                          </w:pPr>
                          <w:r>
                            <w:rPr>
                              <w:rStyle w:val="Nmerodepgina"/>
                              <w:b/>
                              <w:sz w:val="16"/>
                            </w:rPr>
                            <w:t>*</w:t>
                          </w:r>
                          <w:r w:rsidRPr="00113F50">
                            <w:rPr>
                              <w:rStyle w:val="Nmerodepgina"/>
                              <w:b/>
                              <w:sz w:val="16"/>
                            </w:rPr>
                            <w:t>Tipo de comentario:</w:t>
                          </w:r>
                          <w:r w:rsidRPr="00113F50">
                            <w:rPr>
                              <w:rStyle w:val="Nmerodepgina"/>
                              <w:b/>
                              <w:sz w:val="16"/>
                            </w:rPr>
                            <w:tab/>
                            <w:t>Ge</w:t>
                          </w:r>
                          <w:r w:rsidRPr="00113F50">
                            <w:rPr>
                              <w:rStyle w:val="Nmerodepgina"/>
                              <w:b/>
                              <w:bCs/>
                              <w:sz w:val="16"/>
                            </w:rPr>
                            <w:t xml:space="preserve"> = general</w:t>
                          </w:r>
                          <w:r w:rsidRPr="00113F50">
                            <w:rPr>
                              <w:rStyle w:val="Nmerodepgina"/>
                              <w:b/>
                              <w:bCs/>
                              <w:sz w:val="16"/>
                            </w:rPr>
                            <w:tab/>
                            <w:t>T</w:t>
                          </w:r>
                          <w:r w:rsidRPr="00113F50">
                            <w:rPr>
                              <w:rStyle w:val="Nmerodepgina"/>
                              <w:b/>
                              <w:sz w:val="16"/>
                            </w:rPr>
                            <w:t>e</w:t>
                          </w:r>
                          <w:r w:rsidRPr="00113F50">
                            <w:rPr>
                              <w:rStyle w:val="Nmerodepgina"/>
                              <w:b/>
                              <w:bCs/>
                              <w:sz w:val="16"/>
                            </w:rPr>
                            <w:t xml:space="preserve"> = técnico </w:t>
                          </w:r>
                          <w:r w:rsidRPr="00113F50">
                            <w:rPr>
                              <w:rStyle w:val="Nmerodepgina"/>
                              <w:b/>
                              <w:bCs/>
                              <w:sz w:val="16"/>
                            </w:rPr>
                            <w:tab/>
                          </w:r>
                          <w:r w:rsidRPr="00113F50">
                            <w:rPr>
                              <w:rStyle w:val="Nmerodepgina"/>
                              <w:b/>
                              <w:sz w:val="16"/>
                            </w:rPr>
                            <w:t>Ed</w:t>
                          </w:r>
                          <w:r w:rsidRPr="00113F50">
                            <w:rPr>
                              <w:rStyle w:val="Nmerodepgina"/>
                              <w:b/>
                              <w:bCs/>
                              <w:sz w:val="16"/>
                            </w:rPr>
                            <w:t xml:space="preserve"> = editorial </w:t>
                          </w:r>
                        </w:p>
                        <w:p w14:paraId="24EB1CCC" w14:textId="77777777" w:rsidR="00CC56F0" w:rsidRPr="00113F50" w:rsidRDefault="00CC56F0" w:rsidP="00CC56F0">
                          <w:pPr>
                            <w:pStyle w:val="Piedepgina"/>
                            <w:tabs>
                              <w:tab w:val="clear" w:pos="4820"/>
                              <w:tab w:val="clear" w:pos="9639"/>
                              <w:tab w:val="left" w:pos="426"/>
                            </w:tabs>
                            <w:spacing w:before="20" w:after="20"/>
                            <w:ind w:left="1418"/>
                            <w:jc w:val="left"/>
                            <w:rPr>
                              <w:rStyle w:val="Nmerodepgina"/>
                              <w:b/>
                              <w:bCs/>
                              <w:sz w:val="16"/>
                            </w:rPr>
                          </w:pPr>
                          <w:r>
                            <w:rPr>
                              <w:rStyle w:val="Nmerodepgina"/>
                              <w:b/>
                              <w:sz w:val="16"/>
                            </w:rPr>
                            <w:t>N</w:t>
                          </w:r>
                          <w:r w:rsidRPr="00113F50">
                            <w:rPr>
                              <w:rStyle w:val="Nmerodepgina"/>
                              <w:b/>
                              <w:sz w:val="16"/>
                            </w:rPr>
                            <w:t>OTA</w:t>
                          </w:r>
                          <w:r>
                            <w:rPr>
                              <w:rStyle w:val="Nmerodepgina"/>
                              <w:b/>
                              <w:sz w:val="16"/>
                            </w:rPr>
                            <w:t>:</w:t>
                          </w:r>
                          <w:r>
                            <w:rPr>
                              <w:rStyle w:val="Nmerodepgina"/>
                              <w:b/>
                              <w:bCs/>
                              <w:sz w:val="16"/>
                            </w:rPr>
                            <w:t xml:space="preserve"> es obligatorio requisitar todas las columnas y no se deberá modi</w:t>
                          </w:r>
                          <w:r w:rsidR="00312075">
                            <w:rPr>
                              <w:rStyle w:val="Nmerodepgina"/>
                              <w:b/>
                              <w:bCs/>
                              <w:sz w:val="16"/>
                            </w:rPr>
                            <w:t>ficar el formato</w:t>
                          </w:r>
                          <w:r>
                            <w:rPr>
                              <w:rStyle w:val="Nmerodepgina"/>
                              <w:b/>
                              <w:bCs/>
                              <w:sz w:val="16"/>
                            </w:rPr>
                            <w:t>.</w:t>
                          </w:r>
                        </w:p>
                        <w:p w14:paraId="6ABC71CF" w14:textId="77777777" w:rsidR="00CC56F0" w:rsidRDefault="00CC56F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7BF80A" id="_x0000_t202" coordsize="21600,21600" o:spt="202" path="m,l,21600r21600,l21600,xe">
              <v:stroke joinstyle="miter"/>
              <v:path gradientshapeok="t" o:connecttype="rect"/>
            </v:shapetype>
            <v:shape id="Cuadro de texto 1" o:spid="_x0000_s1026" type="#_x0000_t202" style="position:absolute;margin-left:93pt;margin-top:-31.35pt;width:1in;height: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" fillcolor="white [3201]" stroked="f" strokeweight=".5pt">
              <v:textbox>
                <w:txbxContent>
                  <w:p w14:paraId="28502012" w14:textId="77777777" w:rsidR="00CC56F0" w:rsidRPr="00CC56F0" w:rsidRDefault="00CC56F0" w:rsidP="00CC56F0">
                    <w:pPr>
                      <w:pStyle w:val="Piedepgina"/>
                      <w:tabs>
                        <w:tab w:val="clear" w:pos="4820"/>
                        <w:tab w:val="clear" w:pos="9639"/>
                        <w:tab w:val="left" w:pos="284"/>
                        <w:tab w:val="left" w:pos="1843"/>
                        <w:tab w:val="left" w:pos="2268"/>
                        <w:tab w:val="left" w:pos="3119"/>
                        <w:tab w:val="left" w:pos="4395"/>
                      </w:tabs>
                      <w:spacing w:before="20" w:after="20"/>
                      <w:ind w:left="1418"/>
                      <w:jc w:val="left"/>
                      <w:rPr>
                        <w:rStyle w:val="Nmerodepgina"/>
                        <w:b/>
                        <w:bCs/>
                        <w:sz w:val="16"/>
                      </w:rPr>
                    </w:pPr>
                    <w:r>
                      <w:rPr>
                        <w:rStyle w:val="Nmerodepgina"/>
                        <w:b/>
                        <w:sz w:val="16"/>
                      </w:rPr>
                      <w:t>*</w:t>
                    </w:r>
                    <w:r w:rsidRPr="00113F50">
                      <w:rPr>
                        <w:rStyle w:val="Nmerodepgina"/>
                        <w:b/>
                        <w:sz w:val="16"/>
                      </w:rPr>
                      <w:t>Tipo de comentario:</w:t>
                    </w:r>
                    <w:r w:rsidRPr="00113F50">
                      <w:rPr>
                        <w:rStyle w:val="Nmerodepgina"/>
                        <w:b/>
                        <w:sz w:val="16"/>
                      </w:rPr>
                      <w:tab/>
                      <w:t>Ge</w:t>
                    </w:r>
                    <w:r w:rsidRPr="00113F50">
                      <w:rPr>
                        <w:rStyle w:val="Nmerodepgina"/>
                        <w:b/>
                        <w:bCs/>
                        <w:sz w:val="16"/>
                      </w:rPr>
                      <w:t xml:space="preserve"> = general</w:t>
                    </w:r>
                    <w:r w:rsidRPr="00113F50">
                      <w:rPr>
                        <w:rStyle w:val="Nmerodepgina"/>
                        <w:b/>
                        <w:bCs/>
                        <w:sz w:val="16"/>
                      </w:rPr>
                      <w:tab/>
                      <w:t>T</w:t>
                    </w:r>
                    <w:r w:rsidRPr="00113F50">
                      <w:rPr>
                        <w:rStyle w:val="Nmerodepgina"/>
                        <w:b/>
                        <w:sz w:val="16"/>
                      </w:rPr>
                      <w:t>e</w:t>
                    </w:r>
                    <w:r w:rsidRPr="00113F50">
                      <w:rPr>
                        <w:rStyle w:val="Nmerodepgina"/>
                        <w:b/>
                        <w:bCs/>
                        <w:sz w:val="16"/>
                      </w:rPr>
                      <w:t xml:space="preserve"> = técnico </w:t>
                    </w:r>
                    <w:r w:rsidRPr="00113F50">
                      <w:rPr>
                        <w:rStyle w:val="Nmerodepgina"/>
                        <w:b/>
                        <w:bCs/>
                        <w:sz w:val="16"/>
                      </w:rPr>
                      <w:tab/>
                    </w:r>
                    <w:r w:rsidRPr="00113F50">
                      <w:rPr>
                        <w:rStyle w:val="Nmerodepgina"/>
                        <w:b/>
                        <w:sz w:val="16"/>
                      </w:rPr>
                      <w:t>Ed</w:t>
                    </w:r>
                    <w:r w:rsidRPr="00113F50">
                      <w:rPr>
                        <w:rStyle w:val="Nmerodepgina"/>
                        <w:b/>
                        <w:bCs/>
                        <w:sz w:val="16"/>
                      </w:rPr>
                      <w:t xml:space="preserve"> = editorial </w:t>
                    </w:r>
                  </w:p>
                  <w:p w14:paraId="24EB1CCC" w14:textId="77777777" w:rsidR="00CC56F0" w:rsidRPr="00113F50" w:rsidRDefault="00CC56F0" w:rsidP="00CC56F0">
                    <w:pPr>
                      <w:pStyle w:val="Piedepgina"/>
                      <w:tabs>
                        <w:tab w:val="clear" w:pos="4820"/>
                        <w:tab w:val="clear" w:pos="9639"/>
                        <w:tab w:val="left" w:pos="426"/>
                      </w:tabs>
                      <w:spacing w:before="20" w:after="20"/>
                      <w:ind w:left="1418"/>
                      <w:jc w:val="left"/>
                      <w:rPr>
                        <w:rStyle w:val="Nmerodepgina"/>
                        <w:b/>
                        <w:bCs/>
                        <w:sz w:val="16"/>
                      </w:rPr>
                    </w:pPr>
                    <w:r>
                      <w:rPr>
                        <w:rStyle w:val="Nmerodepgina"/>
                        <w:b/>
                        <w:sz w:val="16"/>
                      </w:rPr>
                      <w:t>N</w:t>
                    </w:r>
                    <w:r w:rsidRPr="00113F50">
                      <w:rPr>
                        <w:rStyle w:val="Nmerodepgina"/>
                        <w:b/>
                        <w:sz w:val="16"/>
                      </w:rPr>
                      <w:t>OTA</w:t>
                    </w:r>
                    <w:r>
                      <w:rPr>
                        <w:rStyle w:val="Nmerodepgina"/>
                        <w:b/>
                        <w:sz w:val="16"/>
                      </w:rPr>
                      <w:t>:</w:t>
                    </w:r>
                    <w:r>
                      <w:rPr>
                        <w:rStyle w:val="Nmerodepgina"/>
                        <w:b/>
                        <w:bCs/>
                        <w:sz w:val="16"/>
                      </w:rPr>
                      <w:t xml:space="preserve"> es obligatorio requisitar todas las columnas y no se deberá modi</w:t>
                    </w:r>
                    <w:r w:rsidR="00312075">
                      <w:rPr>
                        <w:rStyle w:val="Nmerodepgina"/>
                        <w:b/>
                        <w:bCs/>
                        <w:sz w:val="16"/>
                      </w:rPr>
                      <w:t>ficar el formato</w:t>
                    </w:r>
                    <w:r>
                      <w:rPr>
                        <w:rStyle w:val="Nmerodepgina"/>
                        <w:b/>
                        <w:bCs/>
                        <w:sz w:val="16"/>
                      </w:rPr>
                      <w:t>.</w:t>
                    </w:r>
                  </w:p>
                  <w:p w14:paraId="6ABC71CF" w14:textId="77777777" w:rsidR="00CC56F0" w:rsidRDefault="00CC56F0"/>
                </w:txbxContent>
              </v:textbox>
            </v:shape>
          </w:pict>
        </mc:Fallback>
      </mc:AlternateContent>
    </w:r>
    <w:r w:rsidR="00F810CC" w:rsidRPr="00F810CC">
      <w:rPr>
        <w:rFonts w:ascii="Noto Sans" w:eastAsia="Geo" w:hAnsi="Noto Sans" w:cs="Noto Sans"/>
        <w:color w:val="4D192A"/>
        <w:sz w:val="20"/>
        <w:lang w:val="es-ES"/>
      </w:rPr>
      <w:tab/>
    </w:r>
    <w:r w:rsidR="00412D37" w:rsidRPr="00F810CC">
      <w:rPr>
        <w:noProof/>
        <w:sz w:val="20"/>
        <w:lang w:eastAsia="es-MX"/>
        <w14:ligatures w14:val="standardContextual"/>
      </w:rPr>
      <w:drawing>
        <wp:anchor distT="0" distB="0" distL="114300" distR="114300" simplePos="0" relativeHeight="251658240" behindDoc="1" locked="0" layoutInCell="1" allowOverlap="1" wp14:anchorId="40430F3A" wp14:editId="67ABFC1C">
          <wp:simplePos x="0" y="0"/>
          <wp:positionH relativeFrom="column">
            <wp:posOffset>-136525</wp:posOffset>
          </wp:positionH>
          <wp:positionV relativeFrom="page">
            <wp:posOffset>9296400</wp:posOffset>
          </wp:positionV>
          <wp:extent cx="7019925" cy="47625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019925" cy="476250"/>
                  </a:xfrm>
                  <a:prstGeom prst="rect">
                    <a:avLst/>
                  </a:prstGeom>
                </pic:spPr>
              </pic:pic>
            </a:graphicData>
          </a:graphic>
          <wp14:sizeRelH relativeFrom="page">
            <wp14:pctWidth>0</wp14:pctWidth>
          </wp14:sizeRelH>
          <wp14:sizeRelV relativeFrom="page">
            <wp14:pctHeight>0</wp14:pctHeight>
          </wp14:sizeRelV>
        </wp:anchor>
      </w:drawing>
    </w:r>
    <w:r w:rsidR="00412D37" w:rsidRPr="00F810CC">
      <w:rPr>
        <w:rFonts w:ascii="Noto Sans" w:eastAsia="Geo" w:hAnsi="Noto Sans" w:cs="Noto Sans"/>
        <w:color w:val="4D192A"/>
        <w:sz w:val="20"/>
        <w:lang w:val="es-ES"/>
      </w:rPr>
      <w:t>Calle Pachuca #189, Col. Condesa, C.P. 06140, Cuauhtémoc, CDMX.         Tel: (55) 5729 9100   www.gob.mx/se</w:t>
    </w:r>
    <w:r w:rsidR="00F810CC" w:rsidRPr="00F810CC">
      <w:rPr>
        <w:rFonts w:ascii="Noto Sans" w:eastAsia="Geo" w:hAnsi="Noto Sans" w:cs="Noto Sans"/>
        <w:color w:val="4D192A"/>
        <w:sz w:val="20"/>
        <w:lang w:val="es-ES"/>
      </w:rPr>
      <w:tab/>
    </w:r>
  </w:p>
  <w:p w14:paraId="58B8ECCE" w14:textId="77777777" w:rsidR="005E74F2" w:rsidRPr="00A77623" w:rsidRDefault="005E74F2" w:rsidP="00A77623">
    <w:pPr>
      <w:pStyle w:val="Piedepgina"/>
      <w:tabs>
        <w:tab w:val="clear" w:pos="4820"/>
        <w:tab w:val="clear" w:pos="9639"/>
      </w:tabs>
      <w:ind w:right="1448"/>
      <w:jc w:val="right"/>
      <w:rPr>
        <w:b/>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1739F" w14:textId="77777777" w:rsidR="003C038A" w:rsidRDefault="003C038A">
      <w:r>
        <w:separator/>
      </w:r>
    </w:p>
  </w:footnote>
  <w:footnote w:type="continuationSeparator" w:id="0">
    <w:p w14:paraId="010D98BC" w14:textId="77777777" w:rsidR="003C038A" w:rsidRDefault="003C038A">
      <w:r>
        <w:continuationSeparator/>
      </w:r>
    </w:p>
  </w:footnote>
  <w:footnote w:type="continuationNotice" w:id="1">
    <w:p w14:paraId="51353F41" w14:textId="77777777" w:rsidR="003C038A" w:rsidRDefault="003C038A">
      <w:pPr>
        <w:pStyle w:val="Piedepgina"/>
      </w:pPr>
    </w:p>
  </w:footnote>
  <w:footnote w:id="2">
    <w:p w14:paraId="4BF3A86B" w14:textId="77777777" w:rsidR="008F034B" w:rsidRPr="00904274" w:rsidRDefault="008F034B" w:rsidP="008F034B">
      <w:pPr>
        <w:pBdr>
          <w:top w:val="nil"/>
          <w:left w:val="nil"/>
          <w:bottom w:val="nil"/>
          <w:right w:val="nil"/>
          <w:between w:val="nil"/>
        </w:pBdr>
        <w:rPr>
          <w:rFonts w:asciiTheme="minorHAnsi" w:eastAsia="Arial" w:hAnsiTheme="minorHAnsi" w:cstheme="minorHAnsi"/>
          <w:color w:val="000000"/>
          <w:sz w:val="16"/>
          <w:szCs w:val="16"/>
        </w:rPr>
      </w:pPr>
      <w:r w:rsidRPr="00904274">
        <w:rPr>
          <w:rStyle w:val="Refdenotaalpie"/>
          <w:rFonts w:asciiTheme="minorHAnsi" w:hAnsiTheme="minorHAnsi" w:cstheme="minorHAnsi"/>
          <w:sz w:val="16"/>
          <w:szCs w:val="16"/>
        </w:rPr>
        <w:footnoteRef/>
      </w:r>
      <w:r w:rsidRPr="00904274">
        <w:rPr>
          <w:rFonts w:asciiTheme="minorHAnsi" w:hAnsiTheme="minorHAnsi" w:cstheme="minorHAnsi"/>
          <w:sz w:val="16"/>
          <w:szCs w:val="16"/>
        </w:rPr>
        <w:t xml:space="preserve"> </w:t>
      </w:r>
      <w:r w:rsidRPr="00904274">
        <w:rPr>
          <w:rFonts w:asciiTheme="minorHAnsi" w:eastAsia="Arial" w:hAnsiTheme="minorHAnsi" w:cstheme="minorHAnsi"/>
          <w:color w:val="000000"/>
          <w:sz w:val="16"/>
          <w:szCs w:val="16"/>
        </w:rPr>
        <w:t xml:space="preserve">Organización Panamericana de la Salud. </w:t>
      </w:r>
      <w:r w:rsidRPr="00904274">
        <w:rPr>
          <w:rFonts w:asciiTheme="minorHAnsi" w:eastAsia="Arial" w:hAnsiTheme="minorHAnsi" w:cstheme="minorHAnsi"/>
          <w:i/>
          <w:color w:val="000000"/>
          <w:sz w:val="16"/>
          <w:szCs w:val="16"/>
        </w:rPr>
        <w:t>Modelo de Perfil de Nutrientes</w:t>
      </w:r>
      <w:r>
        <w:rPr>
          <w:rFonts w:asciiTheme="minorHAnsi" w:eastAsia="Arial" w:hAnsiTheme="minorHAnsi" w:cstheme="minorHAnsi"/>
          <w:color w:val="000000"/>
          <w:sz w:val="16"/>
          <w:szCs w:val="16"/>
        </w:rPr>
        <w:t>.; 2016</w:t>
      </w:r>
      <w:r w:rsidRPr="00904274">
        <w:rPr>
          <w:rFonts w:asciiTheme="minorHAnsi" w:eastAsia="Arial" w:hAnsiTheme="minorHAnsi" w:cstheme="minorHAnsi"/>
          <w:color w:val="000000"/>
          <w:sz w:val="16"/>
          <w:szCs w:val="16"/>
        </w:rPr>
        <w:t xml:space="preserve">. </w:t>
      </w:r>
      <w:hyperlink r:id="rId1">
        <w:r w:rsidRPr="00904274">
          <w:rPr>
            <w:rFonts w:asciiTheme="minorHAnsi" w:eastAsia="Arial" w:hAnsiTheme="minorHAnsi" w:cstheme="minorHAnsi"/>
            <w:color w:val="1155CC"/>
            <w:sz w:val="16"/>
            <w:szCs w:val="16"/>
            <w:u w:val="single"/>
          </w:rPr>
          <w:t>https://iris.paho.org/bitstream/handle/10665.2/18622/9789275318737_spa.pdf</w:t>
        </w:r>
      </w:hyperlink>
    </w:p>
  </w:footnote>
  <w:footnote w:id="3">
    <w:p w14:paraId="5D910070" w14:textId="77777777" w:rsidR="008F034B" w:rsidRPr="00904274" w:rsidRDefault="008F034B" w:rsidP="008F034B">
      <w:pPr>
        <w:pBdr>
          <w:top w:val="nil"/>
          <w:left w:val="nil"/>
          <w:bottom w:val="nil"/>
          <w:right w:val="nil"/>
          <w:between w:val="nil"/>
        </w:pBdr>
        <w:rPr>
          <w:rFonts w:asciiTheme="minorHAnsi" w:eastAsia="Arial" w:hAnsiTheme="minorHAnsi" w:cstheme="minorHAnsi"/>
          <w:color w:val="000000"/>
          <w:sz w:val="16"/>
          <w:szCs w:val="16"/>
        </w:rPr>
      </w:pPr>
      <w:r w:rsidRPr="00904274">
        <w:rPr>
          <w:rStyle w:val="Refdenotaalpie"/>
          <w:rFonts w:asciiTheme="minorHAnsi" w:hAnsiTheme="minorHAnsi" w:cstheme="minorHAnsi"/>
          <w:sz w:val="16"/>
          <w:szCs w:val="16"/>
        </w:rPr>
        <w:footnoteRef/>
      </w:r>
      <w:r w:rsidRPr="00904274">
        <w:rPr>
          <w:rFonts w:asciiTheme="minorHAnsi" w:hAnsiTheme="minorHAnsi" w:cstheme="minorHAnsi"/>
          <w:sz w:val="16"/>
          <w:szCs w:val="16"/>
        </w:rPr>
        <w:t xml:space="preserve"> </w:t>
      </w:r>
      <w:r w:rsidRPr="00904274">
        <w:rPr>
          <w:rFonts w:asciiTheme="minorHAnsi" w:eastAsia="Arial" w:hAnsiTheme="minorHAnsi" w:cstheme="minorHAnsi"/>
          <w:color w:val="000000"/>
          <w:sz w:val="16"/>
          <w:szCs w:val="16"/>
        </w:rPr>
        <w:t>INEGI. Mortalidad en México (2024)</w:t>
      </w:r>
    </w:p>
    <w:p w14:paraId="1ECAB449" w14:textId="77777777" w:rsidR="008F034B" w:rsidRPr="00904274" w:rsidRDefault="003C038A" w:rsidP="008F034B">
      <w:pPr>
        <w:pBdr>
          <w:top w:val="nil"/>
          <w:left w:val="nil"/>
          <w:bottom w:val="nil"/>
          <w:right w:val="nil"/>
          <w:between w:val="nil"/>
        </w:pBdr>
        <w:rPr>
          <w:rFonts w:asciiTheme="minorHAnsi" w:eastAsia="Arial" w:hAnsiTheme="minorHAnsi" w:cstheme="minorHAnsi"/>
          <w:sz w:val="16"/>
          <w:szCs w:val="16"/>
        </w:rPr>
      </w:pPr>
      <w:hyperlink r:id="rId2">
        <w:r w:rsidR="008F034B" w:rsidRPr="00904274">
          <w:rPr>
            <w:rFonts w:asciiTheme="minorHAnsi" w:eastAsia="Arial" w:hAnsiTheme="minorHAnsi" w:cstheme="minorHAnsi"/>
            <w:color w:val="0563C1"/>
            <w:sz w:val="16"/>
            <w:szCs w:val="16"/>
            <w:u w:val="single"/>
          </w:rPr>
          <w:t>www.inegi.org.mx/contenidos/saladeprensa/boletines/2024/EDR/EDR2024_1erT.pdf</w:t>
        </w:r>
      </w:hyperlink>
    </w:p>
    <w:p w14:paraId="61732810" w14:textId="77777777" w:rsidR="008F034B" w:rsidRPr="00904274" w:rsidRDefault="008F034B" w:rsidP="008F034B">
      <w:pPr>
        <w:pStyle w:val="Textonotapie"/>
        <w:rPr>
          <w:rFonts w:asciiTheme="minorHAnsi" w:hAnsiTheme="minorHAnsi" w:cstheme="minorHAnsi"/>
          <w:sz w:val="16"/>
          <w:szCs w:val="16"/>
        </w:rPr>
      </w:pPr>
    </w:p>
  </w:footnote>
  <w:footnote w:id="4">
    <w:p w14:paraId="19D4DBF6" w14:textId="77777777" w:rsidR="008F034B" w:rsidRPr="0048241C" w:rsidRDefault="008F034B" w:rsidP="008F034B">
      <w:pPr>
        <w:rPr>
          <w:rFonts w:cs="Arial"/>
          <w:sz w:val="16"/>
          <w:szCs w:val="16"/>
        </w:rPr>
      </w:pPr>
      <w:r w:rsidRPr="0048241C">
        <w:rPr>
          <w:rStyle w:val="Refdenotaalpie"/>
          <w:sz w:val="16"/>
          <w:szCs w:val="16"/>
        </w:rPr>
        <w:footnoteRef/>
      </w:r>
      <w:r w:rsidRPr="0048241C">
        <w:rPr>
          <w:sz w:val="16"/>
          <w:szCs w:val="16"/>
        </w:rPr>
        <w:t xml:space="preserve"> </w:t>
      </w:r>
      <w:r w:rsidRPr="0048241C">
        <w:rPr>
          <w:rFonts w:cs="Arial"/>
          <w:sz w:val="16"/>
          <w:szCs w:val="16"/>
        </w:rPr>
        <w:t xml:space="preserve">¿Qué es lo que comemos? El doble estándar de los colorantes en los productos ultraprocesados. Estudio comparativo entre México, Suiza y Reino Unido. 2025. Vargas Meza et al. </w:t>
      </w:r>
      <w:hyperlink r:id="rId3">
        <w:r w:rsidRPr="0048241C">
          <w:rPr>
            <w:rFonts w:cs="Arial"/>
            <w:color w:val="1155CC"/>
            <w:sz w:val="16"/>
            <w:szCs w:val="16"/>
            <w:u w:val="single"/>
          </w:rPr>
          <w:t>https://issuu.com/elpoderdelconsumidor/docs/_que_es_lo_que_comemos_el_doble_est_ndar_de_los_c</w:t>
        </w:r>
      </w:hyperlink>
      <w:r w:rsidRPr="0048241C">
        <w:rPr>
          <w:rFonts w:cs="Arial"/>
          <w:sz w:val="16"/>
          <w:szCs w:val="16"/>
        </w:rPr>
        <w:t xml:space="preserve">  </w:t>
      </w:r>
    </w:p>
    <w:p w14:paraId="1607204C" w14:textId="77777777" w:rsidR="008F034B" w:rsidRPr="0048241C" w:rsidRDefault="008F034B" w:rsidP="008F034B">
      <w:pPr>
        <w:rPr>
          <w:rFonts w:cs="Arial"/>
          <w:sz w:val="16"/>
          <w:szCs w:val="16"/>
        </w:rPr>
      </w:pPr>
    </w:p>
    <w:p w14:paraId="2A6EB25E" w14:textId="77777777" w:rsidR="008F034B" w:rsidRDefault="008F034B" w:rsidP="008F034B">
      <w:pPr>
        <w:pStyle w:val="Textonotapie"/>
      </w:pPr>
    </w:p>
  </w:footnote>
  <w:footnote w:id="5">
    <w:p w14:paraId="73BD80CF" w14:textId="77777777" w:rsidR="008F034B" w:rsidRPr="0048241C" w:rsidRDefault="008F034B" w:rsidP="008F034B">
      <w:pPr>
        <w:pStyle w:val="Sinespaciado"/>
        <w:rPr>
          <w:sz w:val="16"/>
          <w:szCs w:val="16"/>
          <w:lang w:bidi="es-ES"/>
        </w:rPr>
      </w:pPr>
      <w:r w:rsidRPr="0048241C">
        <w:rPr>
          <w:rStyle w:val="Refdenotaalpie"/>
          <w:sz w:val="16"/>
          <w:szCs w:val="16"/>
        </w:rPr>
        <w:footnoteRef/>
      </w:r>
      <w:r w:rsidRPr="0048241C">
        <w:rPr>
          <w:sz w:val="16"/>
          <w:szCs w:val="16"/>
        </w:rPr>
        <w:t xml:space="preserve"> </w:t>
      </w:r>
      <w:r w:rsidRPr="0048241C">
        <w:rPr>
          <w:sz w:val="16"/>
          <w:szCs w:val="16"/>
          <w:lang w:bidi="es-ES"/>
        </w:rPr>
        <w:t xml:space="preserve">FD&amp;C Red No. 3. FDA. 15 enero de 2025. Disponible en: </w:t>
      </w:r>
      <w:hyperlink r:id="rId4">
        <w:r w:rsidRPr="0048241C">
          <w:rPr>
            <w:sz w:val="16"/>
            <w:szCs w:val="16"/>
            <w:lang w:bidi="es-ES"/>
          </w:rPr>
          <w:t>https://www.fda.gov/industry/color-additives/fdc-red-no-3</w:t>
        </w:r>
      </w:hyperlink>
    </w:p>
  </w:footnote>
  <w:footnote w:id="6">
    <w:p w14:paraId="48037C09" w14:textId="77777777" w:rsidR="008F034B" w:rsidRPr="008E1C84" w:rsidRDefault="008F034B" w:rsidP="008F034B">
      <w:pPr>
        <w:pStyle w:val="Sinespaciado"/>
        <w:rPr>
          <w:sz w:val="16"/>
          <w:szCs w:val="16"/>
          <w:lang w:bidi="es-ES"/>
        </w:rPr>
      </w:pPr>
      <w:r w:rsidRPr="0048241C">
        <w:rPr>
          <w:rStyle w:val="Refdenotaalpie"/>
          <w:sz w:val="16"/>
          <w:szCs w:val="16"/>
        </w:rPr>
        <w:footnoteRef/>
      </w:r>
      <w:r w:rsidRPr="00036F26">
        <w:rPr>
          <w:sz w:val="16"/>
          <w:szCs w:val="16"/>
          <w:lang w:val="en-US"/>
        </w:rPr>
        <w:t xml:space="preserve"> </w:t>
      </w:r>
      <w:r w:rsidRPr="00036F26">
        <w:rPr>
          <w:sz w:val="16"/>
          <w:szCs w:val="16"/>
          <w:lang w:val="en-US" w:bidi="es-ES"/>
        </w:rPr>
        <w:t xml:space="preserve">HHS, FDA to Phase Out Petroleum-Based Synthetic Dyes in Nation’s Food Supply. </w:t>
      </w:r>
      <w:r w:rsidRPr="0048241C">
        <w:rPr>
          <w:sz w:val="16"/>
          <w:szCs w:val="16"/>
          <w:lang w:bidi="es-ES"/>
        </w:rPr>
        <w:t xml:space="preserve">FDA. abril 2025. Disponible en: </w:t>
      </w:r>
      <w:hyperlink r:id="rId5">
        <w:r w:rsidRPr="0048241C">
          <w:rPr>
            <w:sz w:val="16"/>
            <w:szCs w:val="16"/>
            <w:lang w:bidi="es-ES"/>
          </w:rPr>
          <w:t>https://www.fda.gov/news-events/press-announcements/hhs-fda-phase-out-petroleum-based-synthetic-dyes-nations-food-supply</w:t>
        </w:r>
      </w:hyperlink>
    </w:p>
  </w:footnote>
  <w:footnote w:id="7">
    <w:p w14:paraId="48BA4268" w14:textId="77777777" w:rsidR="008F034B" w:rsidRPr="008E1C84" w:rsidRDefault="008F034B" w:rsidP="008F034B">
      <w:pPr>
        <w:rPr>
          <w:rFonts w:asciiTheme="minorHAnsi" w:hAnsiTheme="minorHAnsi" w:cstheme="minorHAnsi"/>
          <w:sz w:val="16"/>
          <w:szCs w:val="16"/>
        </w:rPr>
      </w:pPr>
      <w:r>
        <w:rPr>
          <w:rStyle w:val="Refdenotaalpie"/>
        </w:rPr>
        <w:footnoteRef/>
      </w:r>
      <w:r>
        <w:t xml:space="preserve"> </w:t>
      </w:r>
      <w:r w:rsidRPr="008E1C84">
        <w:rPr>
          <w:rFonts w:asciiTheme="minorHAnsi" w:hAnsiTheme="minorHAnsi" w:cstheme="minorHAnsi"/>
          <w:sz w:val="16"/>
          <w:szCs w:val="16"/>
        </w:rPr>
        <w:t>Ministerio de Salud de la Nación Argentina. (2024). Manual de Normativa 1. Recuperado de https://www.argentina.gob.ar/sites/default/files/2024-12-manual_normativa_1.pdf</w:t>
      </w:r>
    </w:p>
    <w:p w14:paraId="2C926128" w14:textId="77777777" w:rsidR="008F034B" w:rsidRPr="008E1C84" w:rsidRDefault="008F034B" w:rsidP="008F034B">
      <w:pPr>
        <w:pStyle w:val="Textonotapie"/>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116A" w14:textId="77777777" w:rsidR="005E74F2" w:rsidRDefault="007132DD">
    <w:r>
      <w:rPr>
        <w:noProof/>
        <w:lang w:eastAsia="es-MX"/>
        <w14:ligatures w14:val="standardContextual"/>
      </w:rPr>
      <w:drawing>
        <wp:inline distT="0" distB="0" distL="0" distR="0" wp14:anchorId="71769D79" wp14:editId="6E84173A">
          <wp:extent cx="8858250" cy="14341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006517" cy="1458155"/>
                  </a:xfrm>
                  <a:prstGeom prst="rect">
                    <a:avLst/>
                  </a:prstGeom>
                </pic:spPr>
              </pic:pic>
            </a:graphicData>
          </a:graphic>
        </wp:inline>
      </w:drawing>
    </w:r>
  </w:p>
  <w:p w14:paraId="0E9F0260" w14:textId="77777777" w:rsidR="005E74F2" w:rsidRDefault="005E74F2"/>
  <w:p w14:paraId="052AE1E3" w14:textId="77777777" w:rsidR="005E74F2" w:rsidRPr="0014598C" w:rsidRDefault="005E74F2" w:rsidP="004B5839">
    <w:pPr>
      <w:pStyle w:val="Encabezado"/>
      <w:rPr>
        <w:color w:val="B38E5D"/>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908B0"/>
    <w:multiLevelType w:val="hybridMultilevel"/>
    <w:tmpl w:val="0C265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attachedTemplate r:id="rId1"/>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7C502D"/>
    <w:rsid w:val="00002E38"/>
    <w:rsid w:val="00002FF4"/>
    <w:rsid w:val="00003C7F"/>
    <w:rsid w:val="00006A99"/>
    <w:rsid w:val="00010155"/>
    <w:rsid w:val="00011487"/>
    <w:rsid w:val="0001185C"/>
    <w:rsid w:val="000132A9"/>
    <w:rsid w:val="00016278"/>
    <w:rsid w:val="000173A6"/>
    <w:rsid w:val="000174F1"/>
    <w:rsid w:val="000178F1"/>
    <w:rsid w:val="00021BAB"/>
    <w:rsid w:val="000231FD"/>
    <w:rsid w:val="00025563"/>
    <w:rsid w:val="00027CB9"/>
    <w:rsid w:val="00033F2F"/>
    <w:rsid w:val="000362FA"/>
    <w:rsid w:val="00036AFD"/>
    <w:rsid w:val="00046106"/>
    <w:rsid w:val="00053491"/>
    <w:rsid w:val="0005422F"/>
    <w:rsid w:val="00055399"/>
    <w:rsid w:val="00060FC7"/>
    <w:rsid w:val="000625A6"/>
    <w:rsid w:val="00062755"/>
    <w:rsid w:val="0006292F"/>
    <w:rsid w:val="00062DD2"/>
    <w:rsid w:val="0007109B"/>
    <w:rsid w:val="00071A78"/>
    <w:rsid w:val="00075DC7"/>
    <w:rsid w:val="000775D4"/>
    <w:rsid w:val="00080B15"/>
    <w:rsid w:val="000817BA"/>
    <w:rsid w:val="0008210A"/>
    <w:rsid w:val="0008395F"/>
    <w:rsid w:val="00084AB0"/>
    <w:rsid w:val="00085F3F"/>
    <w:rsid w:val="00087BF2"/>
    <w:rsid w:val="000907FF"/>
    <w:rsid w:val="00090CD3"/>
    <w:rsid w:val="0009500F"/>
    <w:rsid w:val="00096180"/>
    <w:rsid w:val="000968E6"/>
    <w:rsid w:val="000A0479"/>
    <w:rsid w:val="000A16D9"/>
    <w:rsid w:val="000A51DC"/>
    <w:rsid w:val="000B0C96"/>
    <w:rsid w:val="000B4F35"/>
    <w:rsid w:val="000B6C00"/>
    <w:rsid w:val="000B797D"/>
    <w:rsid w:val="000C0014"/>
    <w:rsid w:val="000C0D9B"/>
    <w:rsid w:val="000C2A43"/>
    <w:rsid w:val="000C2CC2"/>
    <w:rsid w:val="000C4DF7"/>
    <w:rsid w:val="000D095E"/>
    <w:rsid w:val="000E5772"/>
    <w:rsid w:val="000E666D"/>
    <w:rsid w:val="000E76FF"/>
    <w:rsid w:val="000F0E3F"/>
    <w:rsid w:val="000F1DFE"/>
    <w:rsid w:val="000F529F"/>
    <w:rsid w:val="000F5D36"/>
    <w:rsid w:val="000F611C"/>
    <w:rsid w:val="00106E78"/>
    <w:rsid w:val="001110B8"/>
    <w:rsid w:val="00112511"/>
    <w:rsid w:val="0012018B"/>
    <w:rsid w:val="00120921"/>
    <w:rsid w:val="00120A0D"/>
    <w:rsid w:val="00122B57"/>
    <w:rsid w:val="00124DFC"/>
    <w:rsid w:val="0012669D"/>
    <w:rsid w:val="00133C41"/>
    <w:rsid w:val="00134770"/>
    <w:rsid w:val="00137F08"/>
    <w:rsid w:val="00140775"/>
    <w:rsid w:val="00141784"/>
    <w:rsid w:val="0014223F"/>
    <w:rsid w:val="00142478"/>
    <w:rsid w:val="0014598C"/>
    <w:rsid w:val="001465E0"/>
    <w:rsid w:val="0014709E"/>
    <w:rsid w:val="00150839"/>
    <w:rsid w:val="00150A5C"/>
    <w:rsid w:val="00162A12"/>
    <w:rsid w:val="00162F82"/>
    <w:rsid w:val="00164759"/>
    <w:rsid w:val="0016547C"/>
    <w:rsid w:val="001668C6"/>
    <w:rsid w:val="001669B2"/>
    <w:rsid w:val="00167DF6"/>
    <w:rsid w:val="001706C8"/>
    <w:rsid w:val="00170BEF"/>
    <w:rsid w:val="0018169F"/>
    <w:rsid w:val="0018315D"/>
    <w:rsid w:val="0018367B"/>
    <w:rsid w:val="0018472F"/>
    <w:rsid w:val="001873EE"/>
    <w:rsid w:val="00190147"/>
    <w:rsid w:val="00190BA9"/>
    <w:rsid w:val="00193401"/>
    <w:rsid w:val="00193D0E"/>
    <w:rsid w:val="00194A60"/>
    <w:rsid w:val="00195E2A"/>
    <w:rsid w:val="00197F44"/>
    <w:rsid w:val="001A0208"/>
    <w:rsid w:val="001A11D4"/>
    <w:rsid w:val="001A1491"/>
    <w:rsid w:val="001A14E6"/>
    <w:rsid w:val="001A1D3C"/>
    <w:rsid w:val="001A3696"/>
    <w:rsid w:val="001A3962"/>
    <w:rsid w:val="001A766E"/>
    <w:rsid w:val="001A7FC9"/>
    <w:rsid w:val="001B0A23"/>
    <w:rsid w:val="001B10D6"/>
    <w:rsid w:val="001B3154"/>
    <w:rsid w:val="001B4A13"/>
    <w:rsid w:val="001B4D65"/>
    <w:rsid w:val="001B4F5D"/>
    <w:rsid w:val="001B5E55"/>
    <w:rsid w:val="001B705C"/>
    <w:rsid w:val="001B758B"/>
    <w:rsid w:val="001C132C"/>
    <w:rsid w:val="001C386B"/>
    <w:rsid w:val="001C3F4B"/>
    <w:rsid w:val="001C4CE0"/>
    <w:rsid w:val="001C5512"/>
    <w:rsid w:val="001C6DF4"/>
    <w:rsid w:val="001D0530"/>
    <w:rsid w:val="001D172A"/>
    <w:rsid w:val="001D2A66"/>
    <w:rsid w:val="001D724E"/>
    <w:rsid w:val="001D7E0D"/>
    <w:rsid w:val="001E088F"/>
    <w:rsid w:val="001E2A6B"/>
    <w:rsid w:val="001E4252"/>
    <w:rsid w:val="001E461D"/>
    <w:rsid w:val="001E4DE8"/>
    <w:rsid w:val="001E6E9A"/>
    <w:rsid w:val="001F0999"/>
    <w:rsid w:val="001F0F1F"/>
    <w:rsid w:val="001F3273"/>
    <w:rsid w:val="001F4ECD"/>
    <w:rsid w:val="001F7AF1"/>
    <w:rsid w:val="0020167E"/>
    <w:rsid w:val="00201B9C"/>
    <w:rsid w:val="0020282D"/>
    <w:rsid w:val="00203631"/>
    <w:rsid w:val="00210BFA"/>
    <w:rsid w:val="00212399"/>
    <w:rsid w:val="00212954"/>
    <w:rsid w:val="00213E29"/>
    <w:rsid w:val="00220D49"/>
    <w:rsid w:val="0022112B"/>
    <w:rsid w:val="002257A9"/>
    <w:rsid w:val="002278CD"/>
    <w:rsid w:val="002279E6"/>
    <w:rsid w:val="00227E69"/>
    <w:rsid w:val="00231562"/>
    <w:rsid w:val="002317DC"/>
    <w:rsid w:val="00233E9C"/>
    <w:rsid w:val="00234445"/>
    <w:rsid w:val="00236A63"/>
    <w:rsid w:val="00237132"/>
    <w:rsid w:val="002379E6"/>
    <w:rsid w:val="002415F2"/>
    <w:rsid w:val="00241847"/>
    <w:rsid w:val="00241902"/>
    <w:rsid w:val="00242E7B"/>
    <w:rsid w:val="002474F2"/>
    <w:rsid w:val="00250629"/>
    <w:rsid w:val="00252F80"/>
    <w:rsid w:val="00253592"/>
    <w:rsid w:val="00253B94"/>
    <w:rsid w:val="002554A6"/>
    <w:rsid w:val="00256991"/>
    <w:rsid w:val="00260A26"/>
    <w:rsid w:val="00262233"/>
    <w:rsid w:val="00262FB0"/>
    <w:rsid w:val="002659F7"/>
    <w:rsid w:val="0026742D"/>
    <w:rsid w:val="00270197"/>
    <w:rsid w:val="00270BA1"/>
    <w:rsid w:val="00272B5E"/>
    <w:rsid w:val="00274131"/>
    <w:rsid w:val="00275ABD"/>
    <w:rsid w:val="002769D0"/>
    <w:rsid w:val="00281FC1"/>
    <w:rsid w:val="0028275F"/>
    <w:rsid w:val="0028604F"/>
    <w:rsid w:val="002861FE"/>
    <w:rsid w:val="00286A22"/>
    <w:rsid w:val="00286FA7"/>
    <w:rsid w:val="00290140"/>
    <w:rsid w:val="00293F41"/>
    <w:rsid w:val="002A01E6"/>
    <w:rsid w:val="002A0A41"/>
    <w:rsid w:val="002A0E98"/>
    <w:rsid w:val="002A43BB"/>
    <w:rsid w:val="002A48A0"/>
    <w:rsid w:val="002A4AC7"/>
    <w:rsid w:val="002A511A"/>
    <w:rsid w:val="002A768E"/>
    <w:rsid w:val="002B6629"/>
    <w:rsid w:val="002B78D4"/>
    <w:rsid w:val="002C0D01"/>
    <w:rsid w:val="002C300A"/>
    <w:rsid w:val="002C6AE8"/>
    <w:rsid w:val="002D011B"/>
    <w:rsid w:val="002D62B2"/>
    <w:rsid w:val="002D77CD"/>
    <w:rsid w:val="002E6978"/>
    <w:rsid w:val="002F4E41"/>
    <w:rsid w:val="002F69A3"/>
    <w:rsid w:val="003007C5"/>
    <w:rsid w:val="00302186"/>
    <w:rsid w:val="00303CD9"/>
    <w:rsid w:val="003064EF"/>
    <w:rsid w:val="003067E2"/>
    <w:rsid w:val="00312075"/>
    <w:rsid w:val="00317008"/>
    <w:rsid w:val="0032017E"/>
    <w:rsid w:val="003207C1"/>
    <w:rsid w:val="00320DA1"/>
    <w:rsid w:val="00324C36"/>
    <w:rsid w:val="0032510D"/>
    <w:rsid w:val="003252B3"/>
    <w:rsid w:val="00325535"/>
    <w:rsid w:val="003308B4"/>
    <w:rsid w:val="00335B27"/>
    <w:rsid w:val="00335E7F"/>
    <w:rsid w:val="003369B6"/>
    <w:rsid w:val="003406B3"/>
    <w:rsid w:val="003429D3"/>
    <w:rsid w:val="00352260"/>
    <w:rsid w:val="00352E58"/>
    <w:rsid w:val="00353090"/>
    <w:rsid w:val="00354686"/>
    <w:rsid w:val="00360772"/>
    <w:rsid w:val="003634A5"/>
    <w:rsid w:val="003634E3"/>
    <w:rsid w:val="00363F52"/>
    <w:rsid w:val="00364366"/>
    <w:rsid w:val="00371995"/>
    <w:rsid w:val="00372C4B"/>
    <w:rsid w:val="003776E9"/>
    <w:rsid w:val="00377A55"/>
    <w:rsid w:val="003807F6"/>
    <w:rsid w:val="00380CB3"/>
    <w:rsid w:val="0038261B"/>
    <w:rsid w:val="00386174"/>
    <w:rsid w:val="00386900"/>
    <w:rsid w:val="0038770A"/>
    <w:rsid w:val="003877F6"/>
    <w:rsid w:val="00390FC2"/>
    <w:rsid w:val="00395D8E"/>
    <w:rsid w:val="003A10A9"/>
    <w:rsid w:val="003A1F26"/>
    <w:rsid w:val="003A2FD6"/>
    <w:rsid w:val="003A7BD2"/>
    <w:rsid w:val="003B43AA"/>
    <w:rsid w:val="003B4EB2"/>
    <w:rsid w:val="003B6446"/>
    <w:rsid w:val="003B6DEC"/>
    <w:rsid w:val="003C038A"/>
    <w:rsid w:val="003C15DB"/>
    <w:rsid w:val="003C2D38"/>
    <w:rsid w:val="003C3E7F"/>
    <w:rsid w:val="003C4B4A"/>
    <w:rsid w:val="003C5784"/>
    <w:rsid w:val="003D1C7B"/>
    <w:rsid w:val="003D2CDA"/>
    <w:rsid w:val="003D2DB5"/>
    <w:rsid w:val="003D3BD1"/>
    <w:rsid w:val="003D457E"/>
    <w:rsid w:val="003D6025"/>
    <w:rsid w:val="003E23DD"/>
    <w:rsid w:val="003E543C"/>
    <w:rsid w:val="003E7F84"/>
    <w:rsid w:val="003F0449"/>
    <w:rsid w:val="003F06FB"/>
    <w:rsid w:val="003F4577"/>
    <w:rsid w:val="003F4E23"/>
    <w:rsid w:val="003F7CFB"/>
    <w:rsid w:val="004028C9"/>
    <w:rsid w:val="00405491"/>
    <w:rsid w:val="00405F17"/>
    <w:rsid w:val="0041083E"/>
    <w:rsid w:val="00412B54"/>
    <w:rsid w:val="00412D37"/>
    <w:rsid w:val="00415420"/>
    <w:rsid w:val="004162A8"/>
    <w:rsid w:val="00416C62"/>
    <w:rsid w:val="00420271"/>
    <w:rsid w:val="004206C3"/>
    <w:rsid w:val="00420E20"/>
    <w:rsid w:val="00424678"/>
    <w:rsid w:val="0042497C"/>
    <w:rsid w:val="004268DD"/>
    <w:rsid w:val="004272E0"/>
    <w:rsid w:val="00433CA5"/>
    <w:rsid w:val="0043491F"/>
    <w:rsid w:val="0044030C"/>
    <w:rsid w:val="004413EF"/>
    <w:rsid w:val="0044319A"/>
    <w:rsid w:val="00446E41"/>
    <w:rsid w:val="00447197"/>
    <w:rsid w:val="00447BFA"/>
    <w:rsid w:val="00455A6F"/>
    <w:rsid w:val="0046078F"/>
    <w:rsid w:val="00461197"/>
    <w:rsid w:val="004611BF"/>
    <w:rsid w:val="00461C65"/>
    <w:rsid w:val="00461FC1"/>
    <w:rsid w:val="004620EC"/>
    <w:rsid w:val="004702C2"/>
    <w:rsid w:val="004739C9"/>
    <w:rsid w:val="00474497"/>
    <w:rsid w:val="00475250"/>
    <w:rsid w:val="0047587E"/>
    <w:rsid w:val="0047648C"/>
    <w:rsid w:val="00477446"/>
    <w:rsid w:val="00481F4B"/>
    <w:rsid w:val="00482DBB"/>
    <w:rsid w:val="00487E7C"/>
    <w:rsid w:val="004915C3"/>
    <w:rsid w:val="00493505"/>
    <w:rsid w:val="00497708"/>
    <w:rsid w:val="004A04A7"/>
    <w:rsid w:val="004A2E68"/>
    <w:rsid w:val="004A3805"/>
    <w:rsid w:val="004A5D52"/>
    <w:rsid w:val="004A6C2C"/>
    <w:rsid w:val="004B04A8"/>
    <w:rsid w:val="004B3294"/>
    <w:rsid w:val="004B446F"/>
    <w:rsid w:val="004B5774"/>
    <w:rsid w:val="004B5839"/>
    <w:rsid w:val="004B5B95"/>
    <w:rsid w:val="004B706D"/>
    <w:rsid w:val="004C2314"/>
    <w:rsid w:val="004C42CB"/>
    <w:rsid w:val="004C5C62"/>
    <w:rsid w:val="004D0ED1"/>
    <w:rsid w:val="004D60FA"/>
    <w:rsid w:val="004E2146"/>
    <w:rsid w:val="004E4A66"/>
    <w:rsid w:val="004E703C"/>
    <w:rsid w:val="004F0AA3"/>
    <w:rsid w:val="004F3759"/>
    <w:rsid w:val="004F7D4B"/>
    <w:rsid w:val="00500EA5"/>
    <w:rsid w:val="00502517"/>
    <w:rsid w:val="00510214"/>
    <w:rsid w:val="0051134B"/>
    <w:rsid w:val="00513728"/>
    <w:rsid w:val="00513EB7"/>
    <w:rsid w:val="005162B8"/>
    <w:rsid w:val="00516FC7"/>
    <w:rsid w:val="00522A03"/>
    <w:rsid w:val="00522FCD"/>
    <w:rsid w:val="00524367"/>
    <w:rsid w:val="00531297"/>
    <w:rsid w:val="00542153"/>
    <w:rsid w:val="005442C1"/>
    <w:rsid w:val="005446E1"/>
    <w:rsid w:val="0054693F"/>
    <w:rsid w:val="005568BF"/>
    <w:rsid w:val="00556CC0"/>
    <w:rsid w:val="00560E61"/>
    <w:rsid w:val="00561073"/>
    <w:rsid w:val="00571A47"/>
    <w:rsid w:val="00576264"/>
    <w:rsid w:val="0057660E"/>
    <w:rsid w:val="0057689F"/>
    <w:rsid w:val="005803E2"/>
    <w:rsid w:val="0058174F"/>
    <w:rsid w:val="00582A6F"/>
    <w:rsid w:val="00585902"/>
    <w:rsid w:val="00585B20"/>
    <w:rsid w:val="00587888"/>
    <w:rsid w:val="0059021F"/>
    <w:rsid w:val="0059067E"/>
    <w:rsid w:val="00592013"/>
    <w:rsid w:val="00592794"/>
    <w:rsid w:val="00595F49"/>
    <w:rsid w:val="0059782C"/>
    <w:rsid w:val="005A0309"/>
    <w:rsid w:val="005A0E3E"/>
    <w:rsid w:val="005A20DB"/>
    <w:rsid w:val="005A6518"/>
    <w:rsid w:val="005A797D"/>
    <w:rsid w:val="005B0DDA"/>
    <w:rsid w:val="005B13C3"/>
    <w:rsid w:val="005B232E"/>
    <w:rsid w:val="005B23E6"/>
    <w:rsid w:val="005B2584"/>
    <w:rsid w:val="005C2607"/>
    <w:rsid w:val="005C31EC"/>
    <w:rsid w:val="005D103F"/>
    <w:rsid w:val="005D3F9A"/>
    <w:rsid w:val="005D4B8B"/>
    <w:rsid w:val="005D4F59"/>
    <w:rsid w:val="005D5721"/>
    <w:rsid w:val="005D715D"/>
    <w:rsid w:val="005E74F2"/>
    <w:rsid w:val="005F2154"/>
    <w:rsid w:val="005F289B"/>
    <w:rsid w:val="005F6E74"/>
    <w:rsid w:val="005F7E46"/>
    <w:rsid w:val="006025ED"/>
    <w:rsid w:val="00607523"/>
    <w:rsid w:val="006138BA"/>
    <w:rsid w:val="00620F64"/>
    <w:rsid w:val="00623013"/>
    <w:rsid w:val="0062398D"/>
    <w:rsid w:val="0062482E"/>
    <w:rsid w:val="00625A94"/>
    <w:rsid w:val="00625E29"/>
    <w:rsid w:val="00627E8E"/>
    <w:rsid w:val="00632B6B"/>
    <w:rsid w:val="00634B07"/>
    <w:rsid w:val="0063574B"/>
    <w:rsid w:val="00640B1D"/>
    <w:rsid w:val="00641530"/>
    <w:rsid w:val="006417D4"/>
    <w:rsid w:val="00641DC7"/>
    <w:rsid w:val="00646AE6"/>
    <w:rsid w:val="006473B4"/>
    <w:rsid w:val="00651D13"/>
    <w:rsid w:val="00651F1D"/>
    <w:rsid w:val="0065201E"/>
    <w:rsid w:val="00657ACF"/>
    <w:rsid w:val="00663BAE"/>
    <w:rsid w:val="006643B7"/>
    <w:rsid w:val="00665CA0"/>
    <w:rsid w:val="00666D41"/>
    <w:rsid w:val="00671100"/>
    <w:rsid w:val="00672406"/>
    <w:rsid w:val="006762A4"/>
    <w:rsid w:val="00676FC8"/>
    <w:rsid w:val="00683D20"/>
    <w:rsid w:val="00683F1E"/>
    <w:rsid w:val="00690AB3"/>
    <w:rsid w:val="00691FF8"/>
    <w:rsid w:val="00692765"/>
    <w:rsid w:val="006929FB"/>
    <w:rsid w:val="00693416"/>
    <w:rsid w:val="00693FC0"/>
    <w:rsid w:val="006951B1"/>
    <w:rsid w:val="006958B8"/>
    <w:rsid w:val="00696BBA"/>
    <w:rsid w:val="00697C3B"/>
    <w:rsid w:val="006A1CD7"/>
    <w:rsid w:val="006A4B7E"/>
    <w:rsid w:val="006A5878"/>
    <w:rsid w:val="006A6584"/>
    <w:rsid w:val="006A6E04"/>
    <w:rsid w:val="006A7DBB"/>
    <w:rsid w:val="006A7EF5"/>
    <w:rsid w:val="006B1544"/>
    <w:rsid w:val="006B4643"/>
    <w:rsid w:val="006B4BE1"/>
    <w:rsid w:val="006B7A7F"/>
    <w:rsid w:val="006C04A1"/>
    <w:rsid w:val="006C242A"/>
    <w:rsid w:val="006C2624"/>
    <w:rsid w:val="006C3BA7"/>
    <w:rsid w:val="006C41B3"/>
    <w:rsid w:val="006C469F"/>
    <w:rsid w:val="006C5785"/>
    <w:rsid w:val="006C6AAF"/>
    <w:rsid w:val="006C736B"/>
    <w:rsid w:val="006C7737"/>
    <w:rsid w:val="006D12BB"/>
    <w:rsid w:val="006D1693"/>
    <w:rsid w:val="006D290B"/>
    <w:rsid w:val="006D33A1"/>
    <w:rsid w:val="006D3DFB"/>
    <w:rsid w:val="006D3F60"/>
    <w:rsid w:val="006D5D99"/>
    <w:rsid w:val="006D62DD"/>
    <w:rsid w:val="006D6818"/>
    <w:rsid w:val="006D6AB3"/>
    <w:rsid w:val="006D7914"/>
    <w:rsid w:val="006E1C7A"/>
    <w:rsid w:val="006E20BC"/>
    <w:rsid w:val="006E522A"/>
    <w:rsid w:val="006F09C3"/>
    <w:rsid w:val="006F222F"/>
    <w:rsid w:val="006F22DF"/>
    <w:rsid w:val="006F2E70"/>
    <w:rsid w:val="006F3612"/>
    <w:rsid w:val="006F41FB"/>
    <w:rsid w:val="006F473D"/>
    <w:rsid w:val="006F5E15"/>
    <w:rsid w:val="006F6923"/>
    <w:rsid w:val="006F7FDD"/>
    <w:rsid w:val="00701784"/>
    <w:rsid w:val="00710515"/>
    <w:rsid w:val="007132DD"/>
    <w:rsid w:val="0071399A"/>
    <w:rsid w:val="00713DDD"/>
    <w:rsid w:val="00721D02"/>
    <w:rsid w:val="00723949"/>
    <w:rsid w:val="00731022"/>
    <w:rsid w:val="00731E6E"/>
    <w:rsid w:val="0073227E"/>
    <w:rsid w:val="007330F4"/>
    <w:rsid w:val="007342C1"/>
    <w:rsid w:val="00737ECA"/>
    <w:rsid w:val="007406E7"/>
    <w:rsid w:val="00741A22"/>
    <w:rsid w:val="00742BA5"/>
    <w:rsid w:val="00746E80"/>
    <w:rsid w:val="00747DD5"/>
    <w:rsid w:val="00750A32"/>
    <w:rsid w:val="00751198"/>
    <w:rsid w:val="007521A3"/>
    <w:rsid w:val="007522E4"/>
    <w:rsid w:val="00752430"/>
    <w:rsid w:val="007539E1"/>
    <w:rsid w:val="00754C49"/>
    <w:rsid w:val="0075644F"/>
    <w:rsid w:val="00756882"/>
    <w:rsid w:val="00760255"/>
    <w:rsid w:val="00763F7A"/>
    <w:rsid w:val="00773B1B"/>
    <w:rsid w:val="007743A7"/>
    <w:rsid w:val="007744D4"/>
    <w:rsid w:val="007759BB"/>
    <w:rsid w:val="00775CE1"/>
    <w:rsid w:val="00776478"/>
    <w:rsid w:val="00776BFE"/>
    <w:rsid w:val="00777327"/>
    <w:rsid w:val="00781C12"/>
    <w:rsid w:val="00782F4C"/>
    <w:rsid w:val="00787BAC"/>
    <w:rsid w:val="00791165"/>
    <w:rsid w:val="00791830"/>
    <w:rsid w:val="00794C0C"/>
    <w:rsid w:val="007957E4"/>
    <w:rsid w:val="00795D0D"/>
    <w:rsid w:val="00795EF4"/>
    <w:rsid w:val="007A08F2"/>
    <w:rsid w:val="007A2445"/>
    <w:rsid w:val="007A391E"/>
    <w:rsid w:val="007A3ACF"/>
    <w:rsid w:val="007A4135"/>
    <w:rsid w:val="007A5084"/>
    <w:rsid w:val="007A626E"/>
    <w:rsid w:val="007A7C60"/>
    <w:rsid w:val="007B0550"/>
    <w:rsid w:val="007B1378"/>
    <w:rsid w:val="007B156B"/>
    <w:rsid w:val="007B15B5"/>
    <w:rsid w:val="007B3411"/>
    <w:rsid w:val="007B3F14"/>
    <w:rsid w:val="007B58F3"/>
    <w:rsid w:val="007B6948"/>
    <w:rsid w:val="007B7DCA"/>
    <w:rsid w:val="007C2688"/>
    <w:rsid w:val="007C2B02"/>
    <w:rsid w:val="007C42D3"/>
    <w:rsid w:val="007C46D8"/>
    <w:rsid w:val="007C488D"/>
    <w:rsid w:val="007C4F21"/>
    <w:rsid w:val="007C502D"/>
    <w:rsid w:val="007C592C"/>
    <w:rsid w:val="007C65E7"/>
    <w:rsid w:val="007C6894"/>
    <w:rsid w:val="007C7694"/>
    <w:rsid w:val="007D0953"/>
    <w:rsid w:val="007D1AFB"/>
    <w:rsid w:val="007D1B46"/>
    <w:rsid w:val="007D2C01"/>
    <w:rsid w:val="007D47F4"/>
    <w:rsid w:val="007D6F67"/>
    <w:rsid w:val="007E454A"/>
    <w:rsid w:val="007E56CF"/>
    <w:rsid w:val="007E6CAB"/>
    <w:rsid w:val="007E79D0"/>
    <w:rsid w:val="007F11B3"/>
    <w:rsid w:val="007F1AC1"/>
    <w:rsid w:val="007F351A"/>
    <w:rsid w:val="007F41DC"/>
    <w:rsid w:val="007F7C81"/>
    <w:rsid w:val="00800F0B"/>
    <w:rsid w:val="0080150F"/>
    <w:rsid w:val="008037CD"/>
    <w:rsid w:val="00803916"/>
    <w:rsid w:val="00804393"/>
    <w:rsid w:val="00807CDE"/>
    <w:rsid w:val="00813985"/>
    <w:rsid w:val="00814B4E"/>
    <w:rsid w:val="00814D4F"/>
    <w:rsid w:val="00816B55"/>
    <w:rsid w:val="00817FCA"/>
    <w:rsid w:val="0082023B"/>
    <w:rsid w:val="00822E8F"/>
    <w:rsid w:val="0082394B"/>
    <w:rsid w:val="00823F65"/>
    <w:rsid w:val="00823FE7"/>
    <w:rsid w:val="00823FFB"/>
    <w:rsid w:val="008273A0"/>
    <w:rsid w:val="008314D3"/>
    <w:rsid w:val="008339CF"/>
    <w:rsid w:val="008404A1"/>
    <w:rsid w:val="00842B2F"/>
    <w:rsid w:val="00843882"/>
    <w:rsid w:val="008440AA"/>
    <w:rsid w:val="00844D5D"/>
    <w:rsid w:val="00846CB3"/>
    <w:rsid w:val="0085083C"/>
    <w:rsid w:val="0085173D"/>
    <w:rsid w:val="00860C63"/>
    <w:rsid w:val="008623AC"/>
    <w:rsid w:val="008630EE"/>
    <w:rsid w:val="00865ED1"/>
    <w:rsid w:val="0086794F"/>
    <w:rsid w:val="00870891"/>
    <w:rsid w:val="00874541"/>
    <w:rsid w:val="0087680E"/>
    <w:rsid w:val="00876E84"/>
    <w:rsid w:val="00877CAD"/>
    <w:rsid w:val="00880093"/>
    <w:rsid w:val="00881AD3"/>
    <w:rsid w:val="00882817"/>
    <w:rsid w:val="00883673"/>
    <w:rsid w:val="00883B51"/>
    <w:rsid w:val="008845A7"/>
    <w:rsid w:val="00885607"/>
    <w:rsid w:val="00885BFF"/>
    <w:rsid w:val="00886543"/>
    <w:rsid w:val="00890B52"/>
    <w:rsid w:val="00891C0F"/>
    <w:rsid w:val="00893999"/>
    <w:rsid w:val="008960E5"/>
    <w:rsid w:val="0089680A"/>
    <w:rsid w:val="008972AE"/>
    <w:rsid w:val="008A0CB0"/>
    <w:rsid w:val="008A152F"/>
    <w:rsid w:val="008A3B71"/>
    <w:rsid w:val="008A5C5E"/>
    <w:rsid w:val="008A7AAC"/>
    <w:rsid w:val="008B02A3"/>
    <w:rsid w:val="008B0DD8"/>
    <w:rsid w:val="008B1CD8"/>
    <w:rsid w:val="008B2407"/>
    <w:rsid w:val="008B7BDF"/>
    <w:rsid w:val="008C42FA"/>
    <w:rsid w:val="008C52D7"/>
    <w:rsid w:val="008C56C9"/>
    <w:rsid w:val="008C7062"/>
    <w:rsid w:val="008D325C"/>
    <w:rsid w:val="008D4D8E"/>
    <w:rsid w:val="008D501F"/>
    <w:rsid w:val="008D786C"/>
    <w:rsid w:val="008E1F8E"/>
    <w:rsid w:val="008E2F58"/>
    <w:rsid w:val="008E7F65"/>
    <w:rsid w:val="008F0023"/>
    <w:rsid w:val="008F034B"/>
    <w:rsid w:val="008F5B78"/>
    <w:rsid w:val="008F600E"/>
    <w:rsid w:val="008F6E8E"/>
    <w:rsid w:val="00901077"/>
    <w:rsid w:val="00903E24"/>
    <w:rsid w:val="00913A0F"/>
    <w:rsid w:val="00914B2C"/>
    <w:rsid w:val="009150EA"/>
    <w:rsid w:val="00915D25"/>
    <w:rsid w:val="00915D42"/>
    <w:rsid w:val="0091786F"/>
    <w:rsid w:val="00920F1B"/>
    <w:rsid w:val="009220EC"/>
    <w:rsid w:val="00922BEF"/>
    <w:rsid w:val="00923016"/>
    <w:rsid w:val="00924254"/>
    <w:rsid w:val="00925EC2"/>
    <w:rsid w:val="00927E47"/>
    <w:rsid w:val="00927F2A"/>
    <w:rsid w:val="00932F79"/>
    <w:rsid w:val="00934153"/>
    <w:rsid w:val="009350B7"/>
    <w:rsid w:val="0093621D"/>
    <w:rsid w:val="0094186B"/>
    <w:rsid w:val="00941D57"/>
    <w:rsid w:val="00942A0C"/>
    <w:rsid w:val="00942C70"/>
    <w:rsid w:val="00943FC8"/>
    <w:rsid w:val="0094442C"/>
    <w:rsid w:val="00944ABC"/>
    <w:rsid w:val="00944AD4"/>
    <w:rsid w:val="00946AEC"/>
    <w:rsid w:val="0095178B"/>
    <w:rsid w:val="009517E8"/>
    <w:rsid w:val="009547E8"/>
    <w:rsid w:val="00954E7B"/>
    <w:rsid w:val="00954EFD"/>
    <w:rsid w:val="009616AA"/>
    <w:rsid w:val="00961949"/>
    <w:rsid w:val="00963190"/>
    <w:rsid w:val="009648E1"/>
    <w:rsid w:val="00964B07"/>
    <w:rsid w:val="009657C4"/>
    <w:rsid w:val="00967107"/>
    <w:rsid w:val="0096710F"/>
    <w:rsid w:val="00970CC6"/>
    <w:rsid w:val="009710F3"/>
    <w:rsid w:val="00972FEE"/>
    <w:rsid w:val="009739E0"/>
    <w:rsid w:val="00977E61"/>
    <w:rsid w:val="00980346"/>
    <w:rsid w:val="0098392B"/>
    <w:rsid w:val="00984259"/>
    <w:rsid w:val="00984B72"/>
    <w:rsid w:val="00992C98"/>
    <w:rsid w:val="009A1E0B"/>
    <w:rsid w:val="009A22CA"/>
    <w:rsid w:val="009A297C"/>
    <w:rsid w:val="009A2E9F"/>
    <w:rsid w:val="009A43D9"/>
    <w:rsid w:val="009B06B1"/>
    <w:rsid w:val="009B200F"/>
    <w:rsid w:val="009B2C8D"/>
    <w:rsid w:val="009B664E"/>
    <w:rsid w:val="009C40E4"/>
    <w:rsid w:val="009C57E5"/>
    <w:rsid w:val="009C74F9"/>
    <w:rsid w:val="009C7D41"/>
    <w:rsid w:val="009D0E4E"/>
    <w:rsid w:val="009D0EE6"/>
    <w:rsid w:val="009D18C8"/>
    <w:rsid w:val="009D42E0"/>
    <w:rsid w:val="009D586B"/>
    <w:rsid w:val="009D6C61"/>
    <w:rsid w:val="009E06E9"/>
    <w:rsid w:val="009E1803"/>
    <w:rsid w:val="009E20EC"/>
    <w:rsid w:val="009E565B"/>
    <w:rsid w:val="009E5A27"/>
    <w:rsid w:val="009E6A5C"/>
    <w:rsid w:val="009F172C"/>
    <w:rsid w:val="009F41BA"/>
    <w:rsid w:val="009F7FBA"/>
    <w:rsid w:val="00A0261B"/>
    <w:rsid w:val="00A0336F"/>
    <w:rsid w:val="00A03471"/>
    <w:rsid w:val="00A110BD"/>
    <w:rsid w:val="00A15642"/>
    <w:rsid w:val="00A15B3A"/>
    <w:rsid w:val="00A205EB"/>
    <w:rsid w:val="00A2071B"/>
    <w:rsid w:val="00A211EB"/>
    <w:rsid w:val="00A21419"/>
    <w:rsid w:val="00A22841"/>
    <w:rsid w:val="00A23719"/>
    <w:rsid w:val="00A244C2"/>
    <w:rsid w:val="00A24B09"/>
    <w:rsid w:val="00A27F58"/>
    <w:rsid w:val="00A30A21"/>
    <w:rsid w:val="00A32B63"/>
    <w:rsid w:val="00A33601"/>
    <w:rsid w:val="00A3698A"/>
    <w:rsid w:val="00A413D0"/>
    <w:rsid w:val="00A41E70"/>
    <w:rsid w:val="00A42BE5"/>
    <w:rsid w:val="00A46626"/>
    <w:rsid w:val="00A47ABF"/>
    <w:rsid w:val="00A503C1"/>
    <w:rsid w:val="00A50B72"/>
    <w:rsid w:val="00A51E70"/>
    <w:rsid w:val="00A53F69"/>
    <w:rsid w:val="00A5653C"/>
    <w:rsid w:val="00A630C0"/>
    <w:rsid w:val="00A70042"/>
    <w:rsid w:val="00A71B66"/>
    <w:rsid w:val="00A74F96"/>
    <w:rsid w:val="00A752E3"/>
    <w:rsid w:val="00A7737F"/>
    <w:rsid w:val="00A77623"/>
    <w:rsid w:val="00A805D6"/>
    <w:rsid w:val="00A85A64"/>
    <w:rsid w:val="00A8698B"/>
    <w:rsid w:val="00A87E58"/>
    <w:rsid w:val="00A90923"/>
    <w:rsid w:val="00A92459"/>
    <w:rsid w:val="00A955AC"/>
    <w:rsid w:val="00A960F8"/>
    <w:rsid w:val="00A966DC"/>
    <w:rsid w:val="00A96FA9"/>
    <w:rsid w:val="00A97279"/>
    <w:rsid w:val="00A97B2B"/>
    <w:rsid w:val="00AA3D2E"/>
    <w:rsid w:val="00AA4DA2"/>
    <w:rsid w:val="00AA4EF6"/>
    <w:rsid w:val="00AA4F3C"/>
    <w:rsid w:val="00AA5932"/>
    <w:rsid w:val="00AB0F39"/>
    <w:rsid w:val="00AB3C40"/>
    <w:rsid w:val="00AB457D"/>
    <w:rsid w:val="00AB464D"/>
    <w:rsid w:val="00AB5A8B"/>
    <w:rsid w:val="00AB7CB8"/>
    <w:rsid w:val="00AB7DCD"/>
    <w:rsid w:val="00AC196F"/>
    <w:rsid w:val="00AC2016"/>
    <w:rsid w:val="00AC3D59"/>
    <w:rsid w:val="00AC4B5D"/>
    <w:rsid w:val="00AD006A"/>
    <w:rsid w:val="00AD116C"/>
    <w:rsid w:val="00AD16D3"/>
    <w:rsid w:val="00AD494C"/>
    <w:rsid w:val="00AD4BF6"/>
    <w:rsid w:val="00AD4E26"/>
    <w:rsid w:val="00AE0755"/>
    <w:rsid w:val="00AE7495"/>
    <w:rsid w:val="00AE75A2"/>
    <w:rsid w:val="00AF009D"/>
    <w:rsid w:val="00AF1E20"/>
    <w:rsid w:val="00AF4218"/>
    <w:rsid w:val="00AF7A68"/>
    <w:rsid w:val="00B00B61"/>
    <w:rsid w:val="00B01624"/>
    <w:rsid w:val="00B01CA4"/>
    <w:rsid w:val="00B0211D"/>
    <w:rsid w:val="00B03775"/>
    <w:rsid w:val="00B0389A"/>
    <w:rsid w:val="00B0666A"/>
    <w:rsid w:val="00B06F2A"/>
    <w:rsid w:val="00B11112"/>
    <w:rsid w:val="00B14413"/>
    <w:rsid w:val="00B20FEB"/>
    <w:rsid w:val="00B23922"/>
    <w:rsid w:val="00B2565C"/>
    <w:rsid w:val="00B321A4"/>
    <w:rsid w:val="00B32C2F"/>
    <w:rsid w:val="00B343F2"/>
    <w:rsid w:val="00B344B6"/>
    <w:rsid w:val="00B34D07"/>
    <w:rsid w:val="00B36D57"/>
    <w:rsid w:val="00B37FAE"/>
    <w:rsid w:val="00B463A2"/>
    <w:rsid w:val="00B4678F"/>
    <w:rsid w:val="00B50275"/>
    <w:rsid w:val="00B5215D"/>
    <w:rsid w:val="00B52A14"/>
    <w:rsid w:val="00B54023"/>
    <w:rsid w:val="00B55E6C"/>
    <w:rsid w:val="00B6003A"/>
    <w:rsid w:val="00B61813"/>
    <w:rsid w:val="00B652F1"/>
    <w:rsid w:val="00B669A8"/>
    <w:rsid w:val="00B719A2"/>
    <w:rsid w:val="00B72E1B"/>
    <w:rsid w:val="00B7309F"/>
    <w:rsid w:val="00B73953"/>
    <w:rsid w:val="00B73A47"/>
    <w:rsid w:val="00B73C08"/>
    <w:rsid w:val="00B74AB2"/>
    <w:rsid w:val="00B75240"/>
    <w:rsid w:val="00B7561A"/>
    <w:rsid w:val="00B76C81"/>
    <w:rsid w:val="00B80144"/>
    <w:rsid w:val="00B815E4"/>
    <w:rsid w:val="00B905BD"/>
    <w:rsid w:val="00B92E65"/>
    <w:rsid w:val="00B9531B"/>
    <w:rsid w:val="00B96E2F"/>
    <w:rsid w:val="00BA0D3E"/>
    <w:rsid w:val="00BA0D97"/>
    <w:rsid w:val="00BA5E2E"/>
    <w:rsid w:val="00BA76DE"/>
    <w:rsid w:val="00BA7E5A"/>
    <w:rsid w:val="00BB2E09"/>
    <w:rsid w:val="00BB34CC"/>
    <w:rsid w:val="00BB47DE"/>
    <w:rsid w:val="00BB54B0"/>
    <w:rsid w:val="00BC00B6"/>
    <w:rsid w:val="00BC2780"/>
    <w:rsid w:val="00BC6FFB"/>
    <w:rsid w:val="00BD0F12"/>
    <w:rsid w:val="00BD26EE"/>
    <w:rsid w:val="00BD3290"/>
    <w:rsid w:val="00BE02D5"/>
    <w:rsid w:val="00BE038A"/>
    <w:rsid w:val="00BE2D68"/>
    <w:rsid w:val="00BE7455"/>
    <w:rsid w:val="00BE75F8"/>
    <w:rsid w:val="00BF00CA"/>
    <w:rsid w:val="00BF0AD4"/>
    <w:rsid w:val="00BF0B14"/>
    <w:rsid w:val="00C00102"/>
    <w:rsid w:val="00C03A5F"/>
    <w:rsid w:val="00C0605D"/>
    <w:rsid w:val="00C076F7"/>
    <w:rsid w:val="00C102E2"/>
    <w:rsid w:val="00C10E71"/>
    <w:rsid w:val="00C12248"/>
    <w:rsid w:val="00C12553"/>
    <w:rsid w:val="00C13F7A"/>
    <w:rsid w:val="00C16965"/>
    <w:rsid w:val="00C2341C"/>
    <w:rsid w:val="00C27E84"/>
    <w:rsid w:val="00C27F08"/>
    <w:rsid w:val="00C306C8"/>
    <w:rsid w:val="00C3252B"/>
    <w:rsid w:val="00C333B5"/>
    <w:rsid w:val="00C33F96"/>
    <w:rsid w:val="00C37005"/>
    <w:rsid w:val="00C42996"/>
    <w:rsid w:val="00C430BC"/>
    <w:rsid w:val="00C45AC9"/>
    <w:rsid w:val="00C511D8"/>
    <w:rsid w:val="00C5511C"/>
    <w:rsid w:val="00C62D7F"/>
    <w:rsid w:val="00C66DD6"/>
    <w:rsid w:val="00C67B1F"/>
    <w:rsid w:val="00C70669"/>
    <w:rsid w:val="00C7075E"/>
    <w:rsid w:val="00C72408"/>
    <w:rsid w:val="00C75D8E"/>
    <w:rsid w:val="00C7707E"/>
    <w:rsid w:val="00C80485"/>
    <w:rsid w:val="00C8060E"/>
    <w:rsid w:val="00C84735"/>
    <w:rsid w:val="00C87480"/>
    <w:rsid w:val="00C92D8E"/>
    <w:rsid w:val="00C9401C"/>
    <w:rsid w:val="00C95348"/>
    <w:rsid w:val="00C96603"/>
    <w:rsid w:val="00C97FED"/>
    <w:rsid w:val="00CA0611"/>
    <w:rsid w:val="00CA0794"/>
    <w:rsid w:val="00CA223E"/>
    <w:rsid w:val="00CA2B8C"/>
    <w:rsid w:val="00CA33FA"/>
    <w:rsid w:val="00CA671D"/>
    <w:rsid w:val="00CA6803"/>
    <w:rsid w:val="00CB0C4A"/>
    <w:rsid w:val="00CB0FF9"/>
    <w:rsid w:val="00CB33EE"/>
    <w:rsid w:val="00CB449E"/>
    <w:rsid w:val="00CB5D0D"/>
    <w:rsid w:val="00CB6C3A"/>
    <w:rsid w:val="00CC1D33"/>
    <w:rsid w:val="00CC3A73"/>
    <w:rsid w:val="00CC3DE7"/>
    <w:rsid w:val="00CC56F0"/>
    <w:rsid w:val="00CC7270"/>
    <w:rsid w:val="00CC7384"/>
    <w:rsid w:val="00CD1241"/>
    <w:rsid w:val="00CD28DC"/>
    <w:rsid w:val="00CD59C1"/>
    <w:rsid w:val="00CD7643"/>
    <w:rsid w:val="00CD7893"/>
    <w:rsid w:val="00CE27E8"/>
    <w:rsid w:val="00CE2876"/>
    <w:rsid w:val="00CE2CBD"/>
    <w:rsid w:val="00CE368F"/>
    <w:rsid w:val="00CE459B"/>
    <w:rsid w:val="00CF1921"/>
    <w:rsid w:val="00CF304F"/>
    <w:rsid w:val="00CF4D35"/>
    <w:rsid w:val="00CF56A2"/>
    <w:rsid w:val="00CF6AD4"/>
    <w:rsid w:val="00CF6E4A"/>
    <w:rsid w:val="00D02225"/>
    <w:rsid w:val="00D038D2"/>
    <w:rsid w:val="00D03BB0"/>
    <w:rsid w:val="00D03CA4"/>
    <w:rsid w:val="00D075EB"/>
    <w:rsid w:val="00D1063E"/>
    <w:rsid w:val="00D12C23"/>
    <w:rsid w:val="00D13460"/>
    <w:rsid w:val="00D13CA5"/>
    <w:rsid w:val="00D140E2"/>
    <w:rsid w:val="00D14A75"/>
    <w:rsid w:val="00D14B32"/>
    <w:rsid w:val="00D14CC3"/>
    <w:rsid w:val="00D235CE"/>
    <w:rsid w:val="00D34099"/>
    <w:rsid w:val="00D422BA"/>
    <w:rsid w:val="00D42FDB"/>
    <w:rsid w:val="00D474D7"/>
    <w:rsid w:val="00D47EC0"/>
    <w:rsid w:val="00D50F39"/>
    <w:rsid w:val="00D55743"/>
    <w:rsid w:val="00D57EAF"/>
    <w:rsid w:val="00D63528"/>
    <w:rsid w:val="00D63B41"/>
    <w:rsid w:val="00D65BFE"/>
    <w:rsid w:val="00D66A5B"/>
    <w:rsid w:val="00D7160B"/>
    <w:rsid w:val="00D71D02"/>
    <w:rsid w:val="00D808FB"/>
    <w:rsid w:val="00D835F3"/>
    <w:rsid w:val="00D85152"/>
    <w:rsid w:val="00D865FA"/>
    <w:rsid w:val="00D86741"/>
    <w:rsid w:val="00D904A0"/>
    <w:rsid w:val="00D90D0A"/>
    <w:rsid w:val="00D91016"/>
    <w:rsid w:val="00D9122B"/>
    <w:rsid w:val="00D93D11"/>
    <w:rsid w:val="00DA06DB"/>
    <w:rsid w:val="00DA13CB"/>
    <w:rsid w:val="00DB1981"/>
    <w:rsid w:val="00DB3D63"/>
    <w:rsid w:val="00DB4437"/>
    <w:rsid w:val="00DB6A66"/>
    <w:rsid w:val="00DC017C"/>
    <w:rsid w:val="00DC0C32"/>
    <w:rsid w:val="00DC5FAD"/>
    <w:rsid w:val="00DD094A"/>
    <w:rsid w:val="00DD2383"/>
    <w:rsid w:val="00DE21B0"/>
    <w:rsid w:val="00DE3F41"/>
    <w:rsid w:val="00DE7EA8"/>
    <w:rsid w:val="00DF06FD"/>
    <w:rsid w:val="00DF2B26"/>
    <w:rsid w:val="00DF32FB"/>
    <w:rsid w:val="00DF5E6C"/>
    <w:rsid w:val="00DF608A"/>
    <w:rsid w:val="00DF7524"/>
    <w:rsid w:val="00DF7B63"/>
    <w:rsid w:val="00E00A78"/>
    <w:rsid w:val="00E015F3"/>
    <w:rsid w:val="00E01A78"/>
    <w:rsid w:val="00E0282E"/>
    <w:rsid w:val="00E050E7"/>
    <w:rsid w:val="00E062A3"/>
    <w:rsid w:val="00E0691D"/>
    <w:rsid w:val="00E076AF"/>
    <w:rsid w:val="00E14B0F"/>
    <w:rsid w:val="00E15374"/>
    <w:rsid w:val="00E208E8"/>
    <w:rsid w:val="00E21926"/>
    <w:rsid w:val="00E22AED"/>
    <w:rsid w:val="00E26980"/>
    <w:rsid w:val="00E27019"/>
    <w:rsid w:val="00E2766F"/>
    <w:rsid w:val="00E30167"/>
    <w:rsid w:val="00E33BE2"/>
    <w:rsid w:val="00E34F06"/>
    <w:rsid w:val="00E36629"/>
    <w:rsid w:val="00E41C84"/>
    <w:rsid w:val="00E4255E"/>
    <w:rsid w:val="00E4351D"/>
    <w:rsid w:val="00E448A3"/>
    <w:rsid w:val="00E46536"/>
    <w:rsid w:val="00E50019"/>
    <w:rsid w:val="00E51E44"/>
    <w:rsid w:val="00E5483E"/>
    <w:rsid w:val="00E60A4F"/>
    <w:rsid w:val="00E61A94"/>
    <w:rsid w:val="00E638AD"/>
    <w:rsid w:val="00E651A3"/>
    <w:rsid w:val="00E65E0E"/>
    <w:rsid w:val="00E7183A"/>
    <w:rsid w:val="00E738C1"/>
    <w:rsid w:val="00E73CB6"/>
    <w:rsid w:val="00E74F91"/>
    <w:rsid w:val="00E777C1"/>
    <w:rsid w:val="00E823C4"/>
    <w:rsid w:val="00E833B3"/>
    <w:rsid w:val="00E845FB"/>
    <w:rsid w:val="00E85BC4"/>
    <w:rsid w:val="00E87B04"/>
    <w:rsid w:val="00E93BC8"/>
    <w:rsid w:val="00E9538B"/>
    <w:rsid w:val="00E96EC5"/>
    <w:rsid w:val="00EA150C"/>
    <w:rsid w:val="00EB18E4"/>
    <w:rsid w:val="00EB5580"/>
    <w:rsid w:val="00EB7E1F"/>
    <w:rsid w:val="00EC1E3E"/>
    <w:rsid w:val="00EC5EA6"/>
    <w:rsid w:val="00EC6A17"/>
    <w:rsid w:val="00EC6B93"/>
    <w:rsid w:val="00EC6F21"/>
    <w:rsid w:val="00ED1817"/>
    <w:rsid w:val="00ED3119"/>
    <w:rsid w:val="00ED3D95"/>
    <w:rsid w:val="00EE21C2"/>
    <w:rsid w:val="00EE4163"/>
    <w:rsid w:val="00EE5AF8"/>
    <w:rsid w:val="00EE5FF6"/>
    <w:rsid w:val="00EF0228"/>
    <w:rsid w:val="00EF1B73"/>
    <w:rsid w:val="00EF3B8E"/>
    <w:rsid w:val="00EF5F20"/>
    <w:rsid w:val="00F058B4"/>
    <w:rsid w:val="00F0673C"/>
    <w:rsid w:val="00F1544A"/>
    <w:rsid w:val="00F1761B"/>
    <w:rsid w:val="00F17DA9"/>
    <w:rsid w:val="00F17F60"/>
    <w:rsid w:val="00F214DA"/>
    <w:rsid w:val="00F21AED"/>
    <w:rsid w:val="00F22B49"/>
    <w:rsid w:val="00F23920"/>
    <w:rsid w:val="00F25B6C"/>
    <w:rsid w:val="00F25F8F"/>
    <w:rsid w:val="00F26930"/>
    <w:rsid w:val="00F3061E"/>
    <w:rsid w:val="00F33052"/>
    <w:rsid w:val="00F36717"/>
    <w:rsid w:val="00F36D8A"/>
    <w:rsid w:val="00F40F45"/>
    <w:rsid w:val="00F4155E"/>
    <w:rsid w:val="00F47302"/>
    <w:rsid w:val="00F510DC"/>
    <w:rsid w:val="00F52A38"/>
    <w:rsid w:val="00F557BC"/>
    <w:rsid w:val="00F5730F"/>
    <w:rsid w:val="00F629DF"/>
    <w:rsid w:val="00F651DD"/>
    <w:rsid w:val="00F67924"/>
    <w:rsid w:val="00F7527F"/>
    <w:rsid w:val="00F76CC0"/>
    <w:rsid w:val="00F80AAF"/>
    <w:rsid w:val="00F80EB2"/>
    <w:rsid w:val="00F810CC"/>
    <w:rsid w:val="00F813C8"/>
    <w:rsid w:val="00F8336B"/>
    <w:rsid w:val="00F859AB"/>
    <w:rsid w:val="00F86239"/>
    <w:rsid w:val="00F87C9C"/>
    <w:rsid w:val="00F92CED"/>
    <w:rsid w:val="00F93513"/>
    <w:rsid w:val="00F9430F"/>
    <w:rsid w:val="00F97276"/>
    <w:rsid w:val="00F977F0"/>
    <w:rsid w:val="00FA1FE0"/>
    <w:rsid w:val="00FA223F"/>
    <w:rsid w:val="00FA4531"/>
    <w:rsid w:val="00FA57DD"/>
    <w:rsid w:val="00FA5BB6"/>
    <w:rsid w:val="00FA649D"/>
    <w:rsid w:val="00FB0607"/>
    <w:rsid w:val="00FB185F"/>
    <w:rsid w:val="00FB2579"/>
    <w:rsid w:val="00FB4EA2"/>
    <w:rsid w:val="00FB602A"/>
    <w:rsid w:val="00FB7F9D"/>
    <w:rsid w:val="00FC0643"/>
    <w:rsid w:val="00FC1FB9"/>
    <w:rsid w:val="00FC6E61"/>
    <w:rsid w:val="00FD2026"/>
    <w:rsid w:val="00FD21B4"/>
    <w:rsid w:val="00FD42E6"/>
    <w:rsid w:val="00FD540E"/>
    <w:rsid w:val="00FD77E6"/>
    <w:rsid w:val="00FE02E1"/>
    <w:rsid w:val="00FE0FD9"/>
    <w:rsid w:val="00FE6187"/>
    <w:rsid w:val="00FF2678"/>
    <w:rsid w:val="00FF2771"/>
    <w:rsid w:val="00FF2E30"/>
    <w:rsid w:val="00FF463A"/>
    <w:rsid w:val="00FF757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21E0D"/>
  <w15:docId w15:val="{64B7463C-A3A4-4EEE-B329-61674D55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13"/>
    <w:pPr>
      <w:jc w:val="both"/>
    </w:pPr>
    <w:rPr>
      <w:rFonts w:ascii="Arial" w:hAnsi="Arial"/>
      <w:sz w:val="22"/>
      <w:lang w:eastAsia="en-US"/>
    </w:rPr>
  </w:style>
  <w:style w:type="paragraph" w:styleId="Ttulo1">
    <w:name w:val="heading 1"/>
    <w:basedOn w:val="Normal"/>
    <w:next w:val="Normal"/>
    <w:qFormat/>
    <w:rsid w:val="00623013"/>
    <w:pPr>
      <w:keepNext/>
      <w:spacing w:before="120" w:after="200"/>
      <w:outlineLvl w:val="0"/>
    </w:pPr>
    <w:rPr>
      <w:b/>
      <w:sz w:val="24"/>
    </w:rPr>
  </w:style>
  <w:style w:type="paragraph" w:styleId="Ttulo2">
    <w:name w:val="heading 2"/>
    <w:basedOn w:val="Ttulo1"/>
    <w:next w:val="Normal"/>
    <w:qFormat/>
    <w:rsid w:val="00623013"/>
    <w:pPr>
      <w:spacing w:before="0"/>
      <w:ind w:left="567" w:hanging="567"/>
      <w:outlineLvl w:val="1"/>
    </w:pPr>
    <w:rPr>
      <w:sz w:val="22"/>
    </w:rPr>
  </w:style>
  <w:style w:type="paragraph" w:styleId="Ttulo3">
    <w:name w:val="heading 3"/>
    <w:basedOn w:val="Ttulo2"/>
    <w:next w:val="Normal"/>
    <w:qFormat/>
    <w:rsid w:val="00623013"/>
    <w:pPr>
      <w:outlineLvl w:val="2"/>
    </w:pPr>
    <w:rPr>
      <w:b w:val="0"/>
    </w:rPr>
  </w:style>
  <w:style w:type="paragraph" w:styleId="Ttulo4">
    <w:name w:val="heading 4"/>
    <w:basedOn w:val="Ttulo3"/>
    <w:next w:val="Normal"/>
    <w:qFormat/>
    <w:rsid w:val="00623013"/>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Piedepgina"/>
    <w:link w:val="EncabezadoCar"/>
    <w:uiPriority w:val="99"/>
    <w:rsid w:val="00623013"/>
  </w:style>
  <w:style w:type="paragraph" w:styleId="Piedepgina">
    <w:name w:val="footer"/>
    <w:basedOn w:val="Normal"/>
    <w:link w:val="PiedepginaCar"/>
    <w:uiPriority w:val="99"/>
    <w:rsid w:val="00623013"/>
    <w:pPr>
      <w:tabs>
        <w:tab w:val="center" w:pos="4820"/>
        <w:tab w:val="right" w:pos="9639"/>
      </w:tabs>
    </w:pPr>
  </w:style>
  <w:style w:type="paragraph" w:customStyle="1" w:styleId="ISOMB">
    <w:name w:val="ISO_MB"/>
    <w:basedOn w:val="Normal"/>
    <w:rsid w:val="00623013"/>
    <w:pPr>
      <w:spacing w:before="210" w:line="210" w:lineRule="exact"/>
      <w:jc w:val="left"/>
    </w:pPr>
    <w:rPr>
      <w:sz w:val="18"/>
    </w:rPr>
  </w:style>
  <w:style w:type="paragraph" w:customStyle="1" w:styleId="ISOClause">
    <w:name w:val="ISO_Clause"/>
    <w:basedOn w:val="Normal"/>
    <w:rsid w:val="00623013"/>
    <w:pPr>
      <w:spacing w:before="210" w:line="210" w:lineRule="exact"/>
      <w:jc w:val="left"/>
    </w:pPr>
    <w:rPr>
      <w:sz w:val="18"/>
    </w:rPr>
  </w:style>
  <w:style w:type="paragraph" w:customStyle="1" w:styleId="ISOParagraph">
    <w:name w:val="ISO_Paragraph"/>
    <w:basedOn w:val="Normal"/>
    <w:rsid w:val="00623013"/>
    <w:pPr>
      <w:spacing w:before="210" w:line="210" w:lineRule="exact"/>
      <w:jc w:val="left"/>
    </w:pPr>
    <w:rPr>
      <w:sz w:val="18"/>
    </w:rPr>
  </w:style>
  <w:style w:type="character" w:styleId="Nmerodepgina">
    <w:name w:val="page number"/>
    <w:semiHidden/>
    <w:rsid w:val="00623013"/>
    <w:rPr>
      <w:sz w:val="20"/>
    </w:rPr>
  </w:style>
  <w:style w:type="paragraph" w:customStyle="1" w:styleId="ISOCommType">
    <w:name w:val="ISO_Comm_Type"/>
    <w:basedOn w:val="Normal"/>
    <w:rsid w:val="00623013"/>
    <w:pPr>
      <w:spacing w:before="210" w:line="210" w:lineRule="exact"/>
      <w:jc w:val="left"/>
    </w:pPr>
    <w:rPr>
      <w:sz w:val="18"/>
    </w:rPr>
  </w:style>
  <w:style w:type="paragraph" w:customStyle="1" w:styleId="ISOComments">
    <w:name w:val="ISO_Comments"/>
    <w:basedOn w:val="Normal"/>
    <w:rsid w:val="00623013"/>
    <w:pPr>
      <w:spacing w:before="210" w:line="210" w:lineRule="exact"/>
      <w:jc w:val="left"/>
    </w:pPr>
    <w:rPr>
      <w:sz w:val="18"/>
    </w:rPr>
  </w:style>
  <w:style w:type="paragraph" w:customStyle="1" w:styleId="ISOChange">
    <w:name w:val="ISO_Change"/>
    <w:basedOn w:val="Normal"/>
    <w:rsid w:val="00623013"/>
    <w:pPr>
      <w:spacing w:before="210" w:line="210" w:lineRule="exact"/>
      <w:jc w:val="left"/>
    </w:pPr>
    <w:rPr>
      <w:sz w:val="18"/>
    </w:rPr>
  </w:style>
  <w:style w:type="paragraph" w:customStyle="1" w:styleId="ISOSecretObservations">
    <w:name w:val="ISO_Secret_Observations"/>
    <w:basedOn w:val="Normal"/>
    <w:rsid w:val="00623013"/>
    <w:pPr>
      <w:spacing w:before="210" w:line="210" w:lineRule="exact"/>
      <w:jc w:val="left"/>
    </w:pPr>
    <w:rPr>
      <w:sz w:val="18"/>
    </w:rPr>
  </w:style>
  <w:style w:type="character" w:customStyle="1" w:styleId="MTEquationSection">
    <w:name w:val="MTEquationSection"/>
    <w:rsid w:val="00623013"/>
    <w:rPr>
      <w:vanish w:val="0"/>
      <w:color w:val="FF0000"/>
      <w:sz w:val="16"/>
    </w:rPr>
  </w:style>
  <w:style w:type="paragraph" w:styleId="Textonotapie">
    <w:name w:val="footnote text"/>
    <w:basedOn w:val="Normal"/>
    <w:link w:val="TextonotapieCar"/>
    <w:uiPriority w:val="99"/>
    <w:semiHidden/>
    <w:rsid w:val="00623013"/>
    <w:rPr>
      <w:sz w:val="20"/>
    </w:rPr>
  </w:style>
  <w:style w:type="character" w:styleId="Refdenotaalpie">
    <w:name w:val="footnote reference"/>
    <w:uiPriority w:val="99"/>
    <w:semiHidden/>
    <w:rsid w:val="00623013"/>
    <w:rPr>
      <w:vertAlign w:val="superscript"/>
    </w:rPr>
  </w:style>
  <w:style w:type="character" w:customStyle="1" w:styleId="mtequationsection0">
    <w:name w:val="mtequationsection"/>
    <w:basedOn w:val="Fuentedeprrafopredeter"/>
    <w:rsid w:val="00623013"/>
  </w:style>
  <w:style w:type="character" w:customStyle="1" w:styleId="hps">
    <w:name w:val="hps"/>
    <w:rsid w:val="000E76FF"/>
  </w:style>
  <w:style w:type="paragraph" w:styleId="Textodeglobo">
    <w:name w:val="Balloon Text"/>
    <w:basedOn w:val="Normal"/>
    <w:link w:val="TextodegloboCar"/>
    <w:uiPriority w:val="99"/>
    <w:semiHidden/>
    <w:unhideWhenUsed/>
    <w:rsid w:val="009220EC"/>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EC"/>
    <w:rPr>
      <w:rFonts w:ascii="Tahoma" w:hAnsi="Tahoma" w:cs="Tahoma"/>
      <w:sz w:val="16"/>
      <w:szCs w:val="16"/>
      <w:lang w:val="en-GB" w:eastAsia="en-US"/>
    </w:rPr>
  </w:style>
  <w:style w:type="paragraph" w:customStyle="1" w:styleId="Default">
    <w:name w:val="Default"/>
    <w:rsid w:val="003252B3"/>
    <w:pPr>
      <w:widowControl w:val="0"/>
      <w:autoSpaceDE w:val="0"/>
      <w:autoSpaceDN w:val="0"/>
      <w:adjustRightInd w:val="0"/>
    </w:pPr>
    <w:rPr>
      <w:rFonts w:ascii="Calibri" w:eastAsiaTheme="minorEastAsia" w:hAnsi="Calibri" w:cs="Calibri"/>
      <w:color w:val="000000"/>
      <w:sz w:val="24"/>
      <w:szCs w:val="24"/>
    </w:rPr>
  </w:style>
  <w:style w:type="paragraph" w:styleId="Prrafodelista">
    <w:name w:val="List Paragraph"/>
    <w:basedOn w:val="Normal"/>
    <w:link w:val="PrrafodelistaCar"/>
    <w:uiPriority w:val="34"/>
    <w:qFormat/>
    <w:rsid w:val="003252B3"/>
    <w:pPr>
      <w:spacing w:after="200" w:line="276" w:lineRule="auto"/>
      <w:ind w:left="720"/>
      <w:contextualSpacing/>
      <w:jc w:val="left"/>
    </w:pPr>
    <w:rPr>
      <w:rFonts w:asciiTheme="minorHAnsi" w:eastAsiaTheme="minorEastAsia" w:hAnsiTheme="minorHAnsi" w:cstheme="minorBidi"/>
      <w:szCs w:val="22"/>
      <w:lang w:eastAsia="es-MX"/>
    </w:rPr>
  </w:style>
  <w:style w:type="character" w:customStyle="1" w:styleId="TextonotapieCar">
    <w:name w:val="Texto nota pie Car"/>
    <w:basedOn w:val="Fuentedeprrafopredeter"/>
    <w:link w:val="Textonotapie"/>
    <w:uiPriority w:val="99"/>
    <w:semiHidden/>
    <w:rsid w:val="000B0C96"/>
    <w:rPr>
      <w:rFonts w:ascii="Arial" w:hAnsi="Arial"/>
      <w:lang w:val="en-GB" w:eastAsia="en-US"/>
    </w:rPr>
  </w:style>
  <w:style w:type="paragraph" w:styleId="Textosinformato">
    <w:name w:val="Plain Text"/>
    <w:basedOn w:val="Normal"/>
    <w:link w:val="TextosinformatoCar"/>
    <w:rsid w:val="00112511"/>
    <w:pPr>
      <w:jc w:val="left"/>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112511"/>
    <w:rPr>
      <w:rFonts w:ascii="Courier New" w:hAnsi="Courier New" w:cs="Courier New"/>
      <w:lang w:eastAsia="es-ES"/>
    </w:rPr>
  </w:style>
  <w:style w:type="character" w:customStyle="1" w:styleId="Bodytext">
    <w:name w:val="Body text_"/>
    <w:basedOn w:val="Fuentedeprrafopredeter"/>
    <w:link w:val="Textoindependiente3"/>
    <w:locked/>
    <w:rsid w:val="00120A0D"/>
    <w:rPr>
      <w:rFonts w:ascii="Arial" w:eastAsia="Arial" w:hAnsi="Arial" w:cs="Arial"/>
      <w:sz w:val="16"/>
      <w:szCs w:val="16"/>
      <w:shd w:val="clear" w:color="auto" w:fill="FFFFFF"/>
    </w:rPr>
  </w:style>
  <w:style w:type="paragraph" w:customStyle="1" w:styleId="Textoindependiente3">
    <w:name w:val="Texto independiente3"/>
    <w:basedOn w:val="Normal"/>
    <w:link w:val="Bodytext"/>
    <w:rsid w:val="00120A0D"/>
    <w:pPr>
      <w:widowControl w:val="0"/>
      <w:shd w:val="clear" w:color="auto" w:fill="FFFFFF"/>
      <w:spacing w:line="206" w:lineRule="exact"/>
    </w:pPr>
    <w:rPr>
      <w:rFonts w:eastAsia="Arial" w:cs="Arial"/>
      <w:sz w:val="16"/>
      <w:szCs w:val="16"/>
      <w:lang w:eastAsia="es-MX"/>
    </w:rPr>
  </w:style>
  <w:style w:type="character" w:customStyle="1" w:styleId="Textoindependiente1">
    <w:name w:val="Texto independiente1"/>
    <w:basedOn w:val="Bodytext"/>
    <w:rsid w:val="00120A0D"/>
    <w:rPr>
      <w:rFonts w:ascii="Arial" w:eastAsia="Arial" w:hAnsi="Arial" w:cs="Arial"/>
      <w:color w:val="000000"/>
      <w:spacing w:val="0"/>
      <w:w w:val="100"/>
      <w:position w:val="0"/>
      <w:sz w:val="16"/>
      <w:szCs w:val="16"/>
      <w:shd w:val="clear" w:color="auto" w:fill="FFFFFF"/>
      <w:lang w:val="es-ES"/>
    </w:rPr>
  </w:style>
  <w:style w:type="character" w:customStyle="1" w:styleId="Bodytext7pt">
    <w:name w:val="Body text + 7 pt"/>
    <w:aliases w:val="Bold,Spacing 0 pt"/>
    <w:basedOn w:val="Bodytext"/>
    <w:rsid w:val="00120A0D"/>
    <w:rPr>
      <w:rFonts w:ascii="Arial" w:eastAsia="Arial" w:hAnsi="Arial" w:cs="Arial"/>
      <w:b/>
      <w:bCs/>
      <w:color w:val="000000"/>
      <w:spacing w:val="0"/>
      <w:w w:val="100"/>
      <w:position w:val="0"/>
      <w:sz w:val="14"/>
      <w:szCs w:val="14"/>
      <w:shd w:val="clear" w:color="auto" w:fill="FFFFFF"/>
      <w:lang w:val="es-ES"/>
    </w:rPr>
  </w:style>
  <w:style w:type="paragraph" w:customStyle="1" w:styleId="ANOTACION">
    <w:name w:val="ANOTACION"/>
    <w:basedOn w:val="Normal"/>
    <w:link w:val="ANOTACIONCar"/>
    <w:uiPriority w:val="99"/>
    <w:rsid w:val="004272E0"/>
    <w:pPr>
      <w:spacing w:before="101" w:after="101" w:line="216" w:lineRule="atLeast"/>
      <w:jc w:val="center"/>
    </w:pPr>
    <w:rPr>
      <w:rFonts w:ascii="Times New Roman" w:hAnsi="Times New Roman"/>
      <w:b/>
      <w:sz w:val="18"/>
      <w:lang w:val="es-ES_tradnl" w:eastAsia="es-ES"/>
    </w:rPr>
  </w:style>
  <w:style w:type="character" w:customStyle="1" w:styleId="ANOTACIONCar">
    <w:name w:val="ANOTACION Car"/>
    <w:link w:val="ANOTACION"/>
    <w:uiPriority w:val="99"/>
    <w:locked/>
    <w:rsid w:val="004272E0"/>
    <w:rPr>
      <w:b/>
      <w:sz w:val="18"/>
      <w:lang w:val="es-ES_tradnl" w:eastAsia="es-ES"/>
    </w:rPr>
  </w:style>
  <w:style w:type="character" w:styleId="Hipervnculo">
    <w:name w:val="Hyperlink"/>
    <w:basedOn w:val="Fuentedeprrafopredeter"/>
    <w:uiPriority w:val="99"/>
    <w:unhideWhenUsed/>
    <w:rsid w:val="00167DF6"/>
    <w:rPr>
      <w:color w:val="0000FF" w:themeColor="hyperlink"/>
      <w:u w:val="single"/>
    </w:rPr>
  </w:style>
  <w:style w:type="paragraph" w:customStyle="1" w:styleId="texto">
    <w:name w:val="texto"/>
    <w:basedOn w:val="Normal"/>
    <w:link w:val="textoCar"/>
    <w:rsid w:val="00737ECA"/>
    <w:pPr>
      <w:spacing w:after="101" w:line="216" w:lineRule="atLeast"/>
      <w:ind w:firstLine="288"/>
    </w:pPr>
    <w:rPr>
      <w:rFonts w:cs="Arial"/>
      <w:sz w:val="18"/>
      <w:szCs w:val="18"/>
      <w:lang w:val="es-ES_tradnl" w:eastAsia="es-ES"/>
    </w:rPr>
  </w:style>
  <w:style w:type="paragraph" w:styleId="Textocomentario">
    <w:name w:val="annotation text"/>
    <w:basedOn w:val="Normal"/>
    <w:link w:val="TextocomentarioCar"/>
    <w:uiPriority w:val="99"/>
    <w:unhideWhenUsed/>
    <w:rsid w:val="00E777C1"/>
    <w:pPr>
      <w:spacing w:after="160"/>
      <w:jc w:val="left"/>
    </w:pPr>
    <w:rPr>
      <w:rFonts w:asciiTheme="minorHAnsi" w:eastAsiaTheme="minorHAnsi" w:hAnsiTheme="minorHAnsi" w:cstheme="minorBidi"/>
      <w:sz w:val="20"/>
    </w:rPr>
  </w:style>
  <w:style w:type="character" w:customStyle="1" w:styleId="TextocomentarioCar">
    <w:name w:val="Texto comentario Car"/>
    <w:basedOn w:val="Fuentedeprrafopredeter"/>
    <w:link w:val="Textocomentario"/>
    <w:uiPriority w:val="99"/>
    <w:rsid w:val="00E777C1"/>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D14CC3"/>
    <w:rPr>
      <w:color w:val="800080" w:themeColor="followedHyperlink"/>
      <w:u w:val="single"/>
    </w:rPr>
  </w:style>
  <w:style w:type="table" w:styleId="Tablaconcuadrcula">
    <w:name w:val="Table Grid"/>
    <w:basedOn w:val="Tablanormal"/>
    <w:uiPriority w:val="59"/>
    <w:rsid w:val="00AD4E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5D4F59"/>
    <w:rPr>
      <w:rFonts w:asciiTheme="minorHAnsi" w:eastAsiaTheme="minorEastAsia" w:hAnsiTheme="minorHAnsi" w:cstheme="minorBidi"/>
      <w:sz w:val="24"/>
      <w:szCs w:val="24"/>
      <w:lang w:val="es-ES_tradnl"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3">
    <w:name w:val="Light Grid Accent 3"/>
    <w:basedOn w:val="Tablanormal"/>
    <w:uiPriority w:val="62"/>
    <w:rsid w:val="000F1DFE"/>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PrrafodelistaCar">
    <w:name w:val="Párrafo de lista Car"/>
    <w:basedOn w:val="Fuentedeprrafopredeter"/>
    <w:link w:val="Prrafodelista"/>
    <w:uiPriority w:val="99"/>
    <w:rsid w:val="000B6C00"/>
    <w:rPr>
      <w:rFonts w:asciiTheme="minorHAnsi" w:eastAsiaTheme="minorEastAsia" w:hAnsiTheme="minorHAnsi" w:cstheme="minorBidi"/>
      <w:sz w:val="22"/>
      <w:szCs w:val="22"/>
    </w:rPr>
  </w:style>
  <w:style w:type="character" w:customStyle="1" w:styleId="Tablecaption">
    <w:name w:val="Table caption_"/>
    <w:basedOn w:val="Fuentedeprrafopredeter"/>
    <w:link w:val="Tablecaption0"/>
    <w:rsid w:val="000B6C00"/>
    <w:rPr>
      <w:rFonts w:ascii="Calibri" w:eastAsia="Calibri" w:hAnsi="Calibri" w:cs="Calibri"/>
      <w:shd w:val="clear" w:color="auto" w:fill="FFFFFF"/>
    </w:rPr>
  </w:style>
  <w:style w:type="paragraph" w:customStyle="1" w:styleId="Tablecaption0">
    <w:name w:val="Table caption"/>
    <w:basedOn w:val="Normal"/>
    <w:link w:val="Tablecaption"/>
    <w:rsid w:val="000B6C00"/>
    <w:pPr>
      <w:widowControl w:val="0"/>
      <w:shd w:val="clear" w:color="auto" w:fill="FFFFFF"/>
      <w:spacing w:line="0" w:lineRule="atLeast"/>
      <w:jc w:val="left"/>
    </w:pPr>
    <w:rPr>
      <w:rFonts w:ascii="Calibri" w:eastAsia="Calibri" w:hAnsi="Calibri" w:cs="Calibri"/>
      <w:sz w:val="20"/>
      <w:lang w:eastAsia="es-MX"/>
    </w:rPr>
  </w:style>
  <w:style w:type="character" w:customStyle="1" w:styleId="fontstyle01">
    <w:name w:val="fontstyle01"/>
    <w:basedOn w:val="Fuentedeprrafopredeter"/>
    <w:rsid w:val="004A5D52"/>
    <w:rPr>
      <w:rFonts w:ascii="ArialMT" w:hAnsi="ArialMT" w:hint="default"/>
      <w:b w:val="0"/>
      <w:bCs w:val="0"/>
      <w:i w:val="0"/>
      <w:iCs w:val="0"/>
      <w:color w:val="000000"/>
      <w:sz w:val="18"/>
      <w:szCs w:val="18"/>
    </w:rPr>
  </w:style>
  <w:style w:type="paragraph" w:customStyle="1" w:styleId="Titulo1">
    <w:name w:val="Titulo 1"/>
    <w:basedOn w:val="texto"/>
    <w:rsid w:val="002F4E41"/>
    <w:pPr>
      <w:pBdr>
        <w:bottom w:val="single" w:sz="12" w:space="1" w:color="auto"/>
      </w:pBdr>
      <w:spacing w:before="120" w:after="0" w:line="240" w:lineRule="auto"/>
      <w:ind w:firstLine="0"/>
      <w:outlineLvl w:val="0"/>
    </w:pPr>
    <w:rPr>
      <w:rFonts w:ascii="Times New Roman" w:hAnsi="Times New Roman"/>
      <w:b/>
      <w:lang w:val="es-MX" w:eastAsia="es-MX"/>
    </w:rPr>
  </w:style>
  <w:style w:type="character" w:customStyle="1" w:styleId="textoCar">
    <w:name w:val="texto Car"/>
    <w:link w:val="texto"/>
    <w:rsid w:val="00BB54B0"/>
    <w:rPr>
      <w:rFonts w:ascii="Arial" w:hAnsi="Arial" w:cs="Arial"/>
      <w:sz w:val="18"/>
      <w:szCs w:val="18"/>
      <w:lang w:val="es-ES_tradnl" w:eastAsia="es-ES"/>
    </w:rPr>
  </w:style>
  <w:style w:type="paragraph" w:customStyle="1" w:styleId="Texto0">
    <w:name w:val="Texto"/>
    <w:basedOn w:val="Normal"/>
    <w:link w:val="TextoCar0"/>
    <w:rsid w:val="00424678"/>
    <w:pPr>
      <w:spacing w:after="101" w:line="216" w:lineRule="exact"/>
      <w:ind w:firstLine="288"/>
    </w:pPr>
    <w:rPr>
      <w:sz w:val="20"/>
      <w:lang w:val="es-ES" w:eastAsia="es-ES"/>
    </w:rPr>
  </w:style>
  <w:style w:type="character" w:customStyle="1" w:styleId="TextoCar0">
    <w:name w:val="Texto Car"/>
    <w:link w:val="Texto0"/>
    <w:locked/>
    <w:rsid w:val="00424678"/>
    <w:rPr>
      <w:rFonts w:ascii="Arial" w:hAnsi="Arial"/>
      <w:lang w:val="es-ES" w:eastAsia="es-ES"/>
    </w:rPr>
  </w:style>
  <w:style w:type="character" w:customStyle="1" w:styleId="EncabezadoCar">
    <w:name w:val="Encabezado Car"/>
    <w:basedOn w:val="Fuentedeprrafopredeter"/>
    <w:link w:val="Encabezado"/>
    <w:uiPriority w:val="99"/>
    <w:rsid w:val="008A7AAC"/>
    <w:rPr>
      <w:rFonts w:ascii="Arial" w:hAnsi="Arial"/>
      <w:sz w:val="22"/>
      <w:lang w:eastAsia="en-US"/>
    </w:rPr>
  </w:style>
  <w:style w:type="character" w:styleId="Refdecomentario">
    <w:name w:val="annotation reference"/>
    <w:basedOn w:val="Fuentedeprrafopredeter"/>
    <w:uiPriority w:val="99"/>
    <w:semiHidden/>
    <w:unhideWhenUsed/>
    <w:rsid w:val="008A7AAC"/>
    <w:rPr>
      <w:sz w:val="16"/>
      <w:szCs w:val="16"/>
    </w:rPr>
  </w:style>
  <w:style w:type="paragraph" w:styleId="Asuntodelcomentario">
    <w:name w:val="annotation subject"/>
    <w:basedOn w:val="Textocomentario"/>
    <w:next w:val="Textocomentario"/>
    <w:link w:val="AsuntodelcomentarioCar"/>
    <w:uiPriority w:val="99"/>
    <w:semiHidden/>
    <w:unhideWhenUsed/>
    <w:rsid w:val="009A1E0B"/>
    <w:pPr>
      <w:spacing w:after="0"/>
      <w:jc w:val="both"/>
    </w:pPr>
    <w:rPr>
      <w:rFonts w:ascii="Arial" w:eastAsia="Times New Roman" w:hAnsi="Arial" w:cs="Times New Roman"/>
      <w:b/>
      <w:bCs/>
    </w:rPr>
  </w:style>
  <w:style w:type="character" w:customStyle="1" w:styleId="AsuntodelcomentarioCar">
    <w:name w:val="Asunto del comentario Car"/>
    <w:basedOn w:val="TextocomentarioCar"/>
    <w:link w:val="Asuntodelcomentario"/>
    <w:uiPriority w:val="99"/>
    <w:semiHidden/>
    <w:rsid w:val="009A1E0B"/>
    <w:rPr>
      <w:rFonts w:ascii="Arial" w:eastAsiaTheme="minorHAnsi" w:hAnsi="Arial" w:cstheme="minorBidi"/>
      <w:b/>
      <w:bCs/>
      <w:lang w:eastAsia="en-US"/>
    </w:rPr>
  </w:style>
  <w:style w:type="character" w:customStyle="1" w:styleId="PiedepginaCar">
    <w:name w:val="Pie de página Car"/>
    <w:basedOn w:val="Fuentedeprrafopredeter"/>
    <w:link w:val="Piedepgina"/>
    <w:uiPriority w:val="99"/>
    <w:rsid w:val="00A77623"/>
    <w:rPr>
      <w:rFonts w:ascii="Arial" w:hAnsi="Arial"/>
      <w:sz w:val="22"/>
      <w:lang w:eastAsia="en-US"/>
    </w:rPr>
  </w:style>
  <w:style w:type="paragraph" w:styleId="NormalWeb">
    <w:name w:val="Normal (Web)"/>
    <w:basedOn w:val="Normal"/>
    <w:uiPriority w:val="99"/>
    <w:unhideWhenUsed/>
    <w:rsid w:val="008F034B"/>
    <w:pPr>
      <w:spacing w:before="100" w:beforeAutospacing="1" w:after="100" w:afterAutospacing="1"/>
      <w:jc w:val="left"/>
    </w:pPr>
    <w:rPr>
      <w:rFonts w:ascii="Times New Roman" w:hAnsi="Times New Roman"/>
      <w:sz w:val="24"/>
      <w:szCs w:val="24"/>
      <w:lang w:eastAsia="es-MX"/>
    </w:rPr>
  </w:style>
  <w:style w:type="character" w:styleId="nfasis">
    <w:name w:val="Emphasis"/>
    <w:basedOn w:val="Fuentedeprrafopredeter"/>
    <w:uiPriority w:val="20"/>
    <w:qFormat/>
    <w:rsid w:val="008F034B"/>
    <w:rPr>
      <w:i/>
      <w:iCs/>
    </w:rPr>
  </w:style>
  <w:style w:type="paragraph" w:styleId="Sinespaciado">
    <w:name w:val="No Spacing"/>
    <w:uiPriority w:val="1"/>
    <w:qFormat/>
    <w:rsid w:val="008F034B"/>
    <w:rPr>
      <w:rFonts w:ascii="Calibri" w:eastAsia="Calibri" w:hAnsi="Calibri" w:cs="Calibri"/>
      <w:sz w:val="22"/>
      <w:szCs w:val="22"/>
    </w:rPr>
  </w:style>
  <w:style w:type="character" w:customStyle="1" w:styleId="rvts12">
    <w:name w:val="rvts12"/>
    <w:basedOn w:val="Fuentedeprrafopredeter"/>
    <w:rsid w:val="008F034B"/>
  </w:style>
  <w:style w:type="character" w:customStyle="1" w:styleId="rvts8">
    <w:name w:val="rvts8"/>
    <w:basedOn w:val="Fuentedeprrafopredeter"/>
    <w:rsid w:val="008F034B"/>
  </w:style>
  <w:style w:type="paragraph" w:customStyle="1" w:styleId="TableParagraph">
    <w:name w:val="Table Paragraph"/>
    <w:basedOn w:val="Normal"/>
    <w:uiPriority w:val="1"/>
    <w:qFormat/>
    <w:rsid w:val="008F034B"/>
    <w:pPr>
      <w:widowControl w:val="0"/>
      <w:autoSpaceDE w:val="0"/>
      <w:autoSpaceDN w:val="0"/>
      <w:jc w:val="left"/>
    </w:pPr>
    <w:rPr>
      <w:rFonts w:ascii="Arial MT" w:eastAsia="Arial MT" w:hAnsi="Arial MT" w:cs="Arial MT"/>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8037">
      <w:bodyDiv w:val="1"/>
      <w:marLeft w:val="0"/>
      <w:marRight w:val="0"/>
      <w:marTop w:val="0"/>
      <w:marBottom w:val="0"/>
      <w:divBdr>
        <w:top w:val="none" w:sz="0" w:space="0" w:color="auto"/>
        <w:left w:val="none" w:sz="0" w:space="0" w:color="auto"/>
        <w:bottom w:val="none" w:sz="0" w:space="0" w:color="auto"/>
        <w:right w:val="none" w:sz="0" w:space="0" w:color="auto"/>
      </w:divBdr>
    </w:div>
    <w:div w:id="271330026">
      <w:bodyDiv w:val="1"/>
      <w:marLeft w:val="0"/>
      <w:marRight w:val="0"/>
      <w:marTop w:val="0"/>
      <w:marBottom w:val="0"/>
      <w:divBdr>
        <w:top w:val="none" w:sz="0" w:space="0" w:color="auto"/>
        <w:left w:val="none" w:sz="0" w:space="0" w:color="auto"/>
        <w:bottom w:val="none" w:sz="0" w:space="0" w:color="auto"/>
        <w:right w:val="none" w:sz="0" w:space="0" w:color="auto"/>
      </w:divBdr>
    </w:div>
    <w:div w:id="306400429">
      <w:bodyDiv w:val="1"/>
      <w:marLeft w:val="0"/>
      <w:marRight w:val="0"/>
      <w:marTop w:val="0"/>
      <w:marBottom w:val="0"/>
      <w:divBdr>
        <w:top w:val="none" w:sz="0" w:space="0" w:color="auto"/>
        <w:left w:val="none" w:sz="0" w:space="0" w:color="auto"/>
        <w:bottom w:val="none" w:sz="0" w:space="0" w:color="auto"/>
        <w:right w:val="none" w:sz="0" w:space="0" w:color="auto"/>
      </w:divBdr>
    </w:div>
    <w:div w:id="374892212">
      <w:bodyDiv w:val="1"/>
      <w:marLeft w:val="0"/>
      <w:marRight w:val="0"/>
      <w:marTop w:val="0"/>
      <w:marBottom w:val="0"/>
      <w:divBdr>
        <w:top w:val="none" w:sz="0" w:space="0" w:color="auto"/>
        <w:left w:val="none" w:sz="0" w:space="0" w:color="auto"/>
        <w:bottom w:val="none" w:sz="0" w:space="0" w:color="auto"/>
        <w:right w:val="none" w:sz="0" w:space="0" w:color="auto"/>
      </w:divBdr>
    </w:div>
    <w:div w:id="523057301">
      <w:bodyDiv w:val="1"/>
      <w:marLeft w:val="0"/>
      <w:marRight w:val="0"/>
      <w:marTop w:val="0"/>
      <w:marBottom w:val="0"/>
      <w:divBdr>
        <w:top w:val="none" w:sz="0" w:space="0" w:color="auto"/>
        <w:left w:val="none" w:sz="0" w:space="0" w:color="auto"/>
        <w:bottom w:val="none" w:sz="0" w:space="0" w:color="auto"/>
        <w:right w:val="none" w:sz="0" w:space="0" w:color="auto"/>
      </w:divBdr>
    </w:div>
    <w:div w:id="647443925">
      <w:bodyDiv w:val="1"/>
      <w:marLeft w:val="0"/>
      <w:marRight w:val="0"/>
      <w:marTop w:val="0"/>
      <w:marBottom w:val="0"/>
      <w:divBdr>
        <w:top w:val="none" w:sz="0" w:space="0" w:color="auto"/>
        <w:left w:val="none" w:sz="0" w:space="0" w:color="auto"/>
        <w:bottom w:val="none" w:sz="0" w:space="0" w:color="auto"/>
        <w:right w:val="none" w:sz="0" w:space="0" w:color="auto"/>
      </w:divBdr>
    </w:div>
    <w:div w:id="726417288">
      <w:bodyDiv w:val="1"/>
      <w:marLeft w:val="0"/>
      <w:marRight w:val="0"/>
      <w:marTop w:val="0"/>
      <w:marBottom w:val="0"/>
      <w:divBdr>
        <w:top w:val="none" w:sz="0" w:space="0" w:color="auto"/>
        <w:left w:val="none" w:sz="0" w:space="0" w:color="auto"/>
        <w:bottom w:val="none" w:sz="0" w:space="0" w:color="auto"/>
        <w:right w:val="none" w:sz="0" w:space="0" w:color="auto"/>
      </w:divBdr>
    </w:div>
    <w:div w:id="760298377">
      <w:bodyDiv w:val="1"/>
      <w:marLeft w:val="0"/>
      <w:marRight w:val="0"/>
      <w:marTop w:val="0"/>
      <w:marBottom w:val="0"/>
      <w:divBdr>
        <w:top w:val="none" w:sz="0" w:space="0" w:color="auto"/>
        <w:left w:val="none" w:sz="0" w:space="0" w:color="auto"/>
        <w:bottom w:val="none" w:sz="0" w:space="0" w:color="auto"/>
        <w:right w:val="none" w:sz="0" w:space="0" w:color="auto"/>
      </w:divBdr>
    </w:div>
    <w:div w:id="939138472">
      <w:bodyDiv w:val="1"/>
      <w:marLeft w:val="0"/>
      <w:marRight w:val="0"/>
      <w:marTop w:val="0"/>
      <w:marBottom w:val="0"/>
      <w:divBdr>
        <w:top w:val="none" w:sz="0" w:space="0" w:color="auto"/>
        <w:left w:val="none" w:sz="0" w:space="0" w:color="auto"/>
        <w:bottom w:val="none" w:sz="0" w:space="0" w:color="auto"/>
        <w:right w:val="none" w:sz="0" w:space="0" w:color="auto"/>
      </w:divBdr>
    </w:div>
    <w:div w:id="950893633">
      <w:bodyDiv w:val="1"/>
      <w:marLeft w:val="0"/>
      <w:marRight w:val="0"/>
      <w:marTop w:val="0"/>
      <w:marBottom w:val="0"/>
      <w:divBdr>
        <w:top w:val="none" w:sz="0" w:space="0" w:color="auto"/>
        <w:left w:val="none" w:sz="0" w:space="0" w:color="auto"/>
        <w:bottom w:val="none" w:sz="0" w:space="0" w:color="auto"/>
        <w:right w:val="none" w:sz="0" w:space="0" w:color="auto"/>
      </w:divBdr>
    </w:div>
    <w:div w:id="984814841">
      <w:bodyDiv w:val="1"/>
      <w:marLeft w:val="0"/>
      <w:marRight w:val="0"/>
      <w:marTop w:val="0"/>
      <w:marBottom w:val="0"/>
      <w:divBdr>
        <w:top w:val="none" w:sz="0" w:space="0" w:color="auto"/>
        <w:left w:val="none" w:sz="0" w:space="0" w:color="auto"/>
        <w:bottom w:val="none" w:sz="0" w:space="0" w:color="auto"/>
        <w:right w:val="none" w:sz="0" w:space="0" w:color="auto"/>
      </w:divBdr>
    </w:div>
    <w:div w:id="1035273058">
      <w:bodyDiv w:val="1"/>
      <w:marLeft w:val="0"/>
      <w:marRight w:val="0"/>
      <w:marTop w:val="0"/>
      <w:marBottom w:val="0"/>
      <w:divBdr>
        <w:top w:val="none" w:sz="0" w:space="0" w:color="auto"/>
        <w:left w:val="none" w:sz="0" w:space="0" w:color="auto"/>
        <w:bottom w:val="none" w:sz="0" w:space="0" w:color="auto"/>
        <w:right w:val="none" w:sz="0" w:space="0" w:color="auto"/>
      </w:divBdr>
    </w:div>
    <w:div w:id="1063596991">
      <w:bodyDiv w:val="1"/>
      <w:marLeft w:val="0"/>
      <w:marRight w:val="0"/>
      <w:marTop w:val="0"/>
      <w:marBottom w:val="0"/>
      <w:divBdr>
        <w:top w:val="none" w:sz="0" w:space="0" w:color="auto"/>
        <w:left w:val="none" w:sz="0" w:space="0" w:color="auto"/>
        <w:bottom w:val="none" w:sz="0" w:space="0" w:color="auto"/>
        <w:right w:val="none" w:sz="0" w:space="0" w:color="auto"/>
      </w:divBdr>
    </w:div>
    <w:div w:id="1063680143">
      <w:bodyDiv w:val="1"/>
      <w:marLeft w:val="0"/>
      <w:marRight w:val="0"/>
      <w:marTop w:val="0"/>
      <w:marBottom w:val="0"/>
      <w:divBdr>
        <w:top w:val="none" w:sz="0" w:space="0" w:color="auto"/>
        <w:left w:val="none" w:sz="0" w:space="0" w:color="auto"/>
        <w:bottom w:val="none" w:sz="0" w:space="0" w:color="auto"/>
        <w:right w:val="none" w:sz="0" w:space="0" w:color="auto"/>
      </w:divBdr>
      <w:divsChild>
        <w:div w:id="1567186318">
          <w:marLeft w:val="0"/>
          <w:marRight w:val="0"/>
          <w:marTop w:val="0"/>
          <w:marBottom w:val="101"/>
          <w:divBdr>
            <w:top w:val="none" w:sz="0" w:space="0" w:color="auto"/>
            <w:left w:val="none" w:sz="0" w:space="0" w:color="auto"/>
            <w:bottom w:val="none" w:sz="0" w:space="0" w:color="auto"/>
            <w:right w:val="none" w:sz="0" w:space="0" w:color="auto"/>
          </w:divBdr>
        </w:div>
      </w:divsChild>
    </w:div>
    <w:div w:id="1091855982">
      <w:bodyDiv w:val="1"/>
      <w:marLeft w:val="0"/>
      <w:marRight w:val="0"/>
      <w:marTop w:val="0"/>
      <w:marBottom w:val="0"/>
      <w:divBdr>
        <w:top w:val="none" w:sz="0" w:space="0" w:color="auto"/>
        <w:left w:val="none" w:sz="0" w:space="0" w:color="auto"/>
        <w:bottom w:val="none" w:sz="0" w:space="0" w:color="auto"/>
        <w:right w:val="none" w:sz="0" w:space="0" w:color="auto"/>
      </w:divBdr>
    </w:div>
    <w:div w:id="1143430714">
      <w:bodyDiv w:val="1"/>
      <w:marLeft w:val="0"/>
      <w:marRight w:val="0"/>
      <w:marTop w:val="0"/>
      <w:marBottom w:val="0"/>
      <w:divBdr>
        <w:top w:val="none" w:sz="0" w:space="0" w:color="auto"/>
        <w:left w:val="none" w:sz="0" w:space="0" w:color="auto"/>
        <w:bottom w:val="none" w:sz="0" w:space="0" w:color="auto"/>
        <w:right w:val="none" w:sz="0" w:space="0" w:color="auto"/>
      </w:divBdr>
    </w:div>
    <w:div w:id="1284116549">
      <w:bodyDiv w:val="1"/>
      <w:marLeft w:val="0"/>
      <w:marRight w:val="0"/>
      <w:marTop w:val="0"/>
      <w:marBottom w:val="0"/>
      <w:divBdr>
        <w:top w:val="none" w:sz="0" w:space="0" w:color="auto"/>
        <w:left w:val="none" w:sz="0" w:space="0" w:color="auto"/>
        <w:bottom w:val="none" w:sz="0" w:space="0" w:color="auto"/>
        <w:right w:val="none" w:sz="0" w:space="0" w:color="auto"/>
      </w:divBdr>
    </w:div>
    <w:div w:id="1340932132">
      <w:bodyDiv w:val="1"/>
      <w:marLeft w:val="0"/>
      <w:marRight w:val="0"/>
      <w:marTop w:val="0"/>
      <w:marBottom w:val="0"/>
      <w:divBdr>
        <w:top w:val="none" w:sz="0" w:space="0" w:color="auto"/>
        <w:left w:val="none" w:sz="0" w:space="0" w:color="auto"/>
        <w:bottom w:val="none" w:sz="0" w:space="0" w:color="auto"/>
        <w:right w:val="none" w:sz="0" w:space="0" w:color="auto"/>
      </w:divBdr>
    </w:div>
    <w:div w:id="1350329071">
      <w:bodyDiv w:val="1"/>
      <w:marLeft w:val="0"/>
      <w:marRight w:val="0"/>
      <w:marTop w:val="0"/>
      <w:marBottom w:val="0"/>
      <w:divBdr>
        <w:top w:val="none" w:sz="0" w:space="0" w:color="auto"/>
        <w:left w:val="none" w:sz="0" w:space="0" w:color="auto"/>
        <w:bottom w:val="none" w:sz="0" w:space="0" w:color="auto"/>
        <w:right w:val="none" w:sz="0" w:space="0" w:color="auto"/>
      </w:divBdr>
    </w:div>
    <w:div w:id="1377855780">
      <w:bodyDiv w:val="1"/>
      <w:marLeft w:val="0"/>
      <w:marRight w:val="0"/>
      <w:marTop w:val="0"/>
      <w:marBottom w:val="0"/>
      <w:divBdr>
        <w:top w:val="none" w:sz="0" w:space="0" w:color="auto"/>
        <w:left w:val="none" w:sz="0" w:space="0" w:color="auto"/>
        <w:bottom w:val="none" w:sz="0" w:space="0" w:color="auto"/>
        <w:right w:val="none" w:sz="0" w:space="0" w:color="auto"/>
      </w:divBdr>
    </w:div>
    <w:div w:id="1424492363">
      <w:bodyDiv w:val="1"/>
      <w:marLeft w:val="0"/>
      <w:marRight w:val="0"/>
      <w:marTop w:val="0"/>
      <w:marBottom w:val="0"/>
      <w:divBdr>
        <w:top w:val="none" w:sz="0" w:space="0" w:color="auto"/>
        <w:left w:val="none" w:sz="0" w:space="0" w:color="auto"/>
        <w:bottom w:val="none" w:sz="0" w:space="0" w:color="auto"/>
        <w:right w:val="none" w:sz="0" w:space="0" w:color="auto"/>
      </w:divBdr>
    </w:div>
    <w:div w:id="1439447035">
      <w:bodyDiv w:val="1"/>
      <w:marLeft w:val="0"/>
      <w:marRight w:val="0"/>
      <w:marTop w:val="0"/>
      <w:marBottom w:val="0"/>
      <w:divBdr>
        <w:top w:val="none" w:sz="0" w:space="0" w:color="auto"/>
        <w:left w:val="none" w:sz="0" w:space="0" w:color="auto"/>
        <w:bottom w:val="none" w:sz="0" w:space="0" w:color="auto"/>
        <w:right w:val="none" w:sz="0" w:space="0" w:color="auto"/>
      </w:divBdr>
    </w:div>
    <w:div w:id="1528981732">
      <w:bodyDiv w:val="1"/>
      <w:marLeft w:val="0"/>
      <w:marRight w:val="0"/>
      <w:marTop w:val="0"/>
      <w:marBottom w:val="0"/>
      <w:divBdr>
        <w:top w:val="none" w:sz="0" w:space="0" w:color="auto"/>
        <w:left w:val="none" w:sz="0" w:space="0" w:color="auto"/>
        <w:bottom w:val="none" w:sz="0" w:space="0" w:color="auto"/>
        <w:right w:val="none" w:sz="0" w:space="0" w:color="auto"/>
      </w:divBdr>
    </w:div>
    <w:div w:id="1570731617">
      <w:bodyDiv w:val="1"/>
      <w:marLeft w:val="0"/>
      <w:marRight w:val="0"/>
      <w:marTop w:val="0"/>
      <w:marBottom w:val="0"/>
      <w:divBdr>
        <w:top w:val="none" w:sz="0" w:space="0" w:color="auto"/>
        <w:left w:val="none" w:sz="0" w:space="0" w:color="auto"/>
        <w:bottom w:val="none" w:sz="0" w:space="0" w:color="auto"/>
        <w:right w:val="none" w:sz="0" w:space="0" w:color="auto"/>
      </w:divBdr>
    </w:div>
    <w:div w:id="1786191587">
      <w:bodyDiv w:val="1"/>
      <w:marLeft w:val="0"/>
      <w:marRight w:val="0"/>
      <w:marTop w:val="0"/>
      <w:marBottom w:val="0"/>
      <w:divBdr>
        <w:top w:val="none" w:sz="0" w:space="0" w:color="auto"/>
        <w:left w:val="none" w:sz="0" w:space="0" w:color="auto"/>
        <w:bottom w:val="none" w:sz="0" w:space="0" w:color="auto"/>
        <w:right w:val="none" w:sz="0" w:space="0" w:color="auto"/>
      </w:divBdr>
    </w:div>
    <w:div w:id="1874269389">
      <w:bodyDiv w:val="1"/>
      <w:marLeft w:val="0"/>
      <w:marRight w:val="0"/>
      <w:marTop w:val="0"/>
      <w:marBottom w:val="0"/>
      <w:divBdr>
        <w:top w:val="none" w:sz="0" w:space="0" w:color="auto"/>
        <w:left w:val="none" w:sz="0" w:space="0" w:color="auto"/>
        <w:bottom w:val="none" w:sz="0" w:space="0" w:color="auto"/>
        <w:right w:val="none" w:sz="0" w:space="0" w:color="auto"/>
      </w:divBdr>
    </w:div>
    <w:div w:id="20183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oderdelconsumidor.org/2022/08/radiografia-de-cubos-sazonadores-caldo-de-vegetales-knorr/" TargetMode="External"/><Relationship Id="rId13" Type="http://schemas.openxmlformats.org/officeDocument/2006/relationships/hyperlink" Target="https://issuu.com/elpoderdelconsumidor/docs/_que_es_lo_que_comemos_el_doble_est_ndar_de_los_c" TargetMode="External"/><Relationship Id="rId18" Type="http://schemas.openxmlformats.org/officeDocument/2006/relationships/hyperlink" Target="https://bolivia.infoleyes.com/norma/5596/decreto-supremo-245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75eB8WtDDvU" TargetMode="External"/><Relationship Id="rId7" Type="http://schemas.openxmlformats.org/officeDocument/2006/relationships/endnotes" Target="endnotes.xml"/><Relationship Id="rId12" Type="http://schemas.openxmlformats.org/officeDocument/2006/relationships/hyperlink" Target="https://www.fda.gov/food/color-additives-information-consumers/color-additives-foods" TargetMode="External"/><Relationship Id="rId17" Type="http://schemas.openxmlformats.org/officeDocument/2006/relationships/hyperlink" Target="https://www.diputados.gob.mx/LeyesBiblio/pdf/LGAA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ecihti.mx/webinario-conacyt-cibiogem-aborda-evidencias-y-mecanismos-de-dano-a-la-salud-asociado-al-maiz-transgenico-y-glifosa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link.springer.com/article/10.1007/s00204-020-02704-7" TargetMode="External"/><Relationship Id="rId5" Type="http://schemas.openxmlformats.org/officeDocument/2006/relationships/webSettings" Target="webSettings.xml"/><Relationship Id="rId15" Type="http://schemas.openxmlformats.org/officeDocument/2006/relationships/hyperlink" Target="https://www.fda.gov/news-events/press-announcements/hhs-fda-phase-out-petroleum-based-synthetic-dyes-nations-food-supply" TargetMode="External"/><Relationship Id="rId23" Type="http://schemas.openxmlformats.org/officeDocument/2006/relationships/hyperlink" Target="https://www.iarc.who.int/featured-news/media-centre-iarc-news-glyphosat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ams.usda.gov/rules-regulations/national-bioengineered-food-disclosure-standar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da.gov/industry/color-additives/fdc-red-no-3" TargetMode="External"/><Relationship Id="rId22" Type="http://schemas.openxmlformats.org/officeDocument/2006/relationships/hyperlink" Target="https://alimentacion.conahcyt.mx/glifosato/descargables/impactos/la_indisoluble_relacion_del_glifosato_con_los_transgenico.p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3" Type="http://schemas.openxmlformats.org/officeDocument/2006/relationships/hyperlink" Target="https://issuu.com/elpoderdelconsumidor/docs/_que_es_lo_que_comemos_el_doble_est_ndar_de_los_c" TargetMode="External"/><Relationship Id="rId2" Type="http://schemas.openxmlformats.org/officeDocument/2006/relationships/hyperlink" Target="http://www.inegi.org.mx/contenidos/saladeprensa/boletines/2024/EDR/EDR2024_1erT.pdf" TargetMode="External"/><Relationship Id="rId1" Type="http://schemas.openxmlformats.org/officeDocument/2006/relationships/hyperlink" Target="https://iris.paho.org/bitstream/handle/10665.2/18622/9789275318737_spa.pdf" TargetMode="External"/><Relationship Id="rId5" Type="http://schemas.openxmlformats.org/officeDocument/2006/relationships/hyperlink" Target="https://www.fda.gov/news-events/press-announcements/hhs-fda-phase-out-petroleum-based-synthetic-dyes-nations-food-supply" TargetMode="External"/><Relationship Id="rId4" Type="http://schemas.openxmlformats.org/officeDocument/2006/relationships/hyperlink" Target="https://www.fda.gov/industry/color-additives/fdc-red-no-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commentmd1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4854-AD1B-4FDA-B422-60159D3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commentmd1template</Template>
  <TotalTime>1</TotalTime>
  <Pages>7</Pages>
  <Words>5936</Words>
  <Characters>32648</Characters>
  <Application>Microsoft Office Word</Application>
  <DocSecurity>0</DocSecurity>
  <Lines>272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CommentsOn</vt:lpstr>
      <vt:lpstr>CommentsOn</vt:lpstr>
    </vt:vector>
  </TitlesOfParts>
  <Company>ISO</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
  <cp:lastModifiedBy>Proyección</cp:lastModifiedBy>
  <cp:revision>3</cp:revision>
  <cp:lastPrinted>2025-06-16T17:23:00Z</cp:lastPrinted>
  <dcterms:created xsi:type="dcterms:W3CDTF">2026-01-16T21:13:00Z</dcterms:created>
  <dcterms:modified xsi:type="dcterms:W3CDTF">2026-01-20T16:15:00Z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GrammarlyDocumentId">
    <vt:lpwstr>60366719-4e66-4bde-9a5e-90c482d42434</vt:lpwstr>
  </property>
</Properties>
</file>